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D82" w:rsidRDefault="007A4D82" w:rsidP="001F6C85">
      <w:pPr>
        <w:jc w:val="both"/>
        <w:rPr>
          <w:rFonts w:ascii="Apple Chancery" w:hAnsi="Apple Chancery" w:cs="Apple Chancery"/>
          <w:i/>
          <w:iCs/>
        </w:rPr>
      </w:pPr>
      <w:bookmarkStart w:id="0" w:name="_GoBack"/>
      <w:bookmarkEnd w:id="0"/>
      <w:r w:rsidRPr="00E64D55">
        <w:rPr>
          <w:rFonts w:ascii="Apple Chancery" w:hAnsi="Apple Chancery" w:cs="Apple Chancery"/>
          <w:i/>
          <w:iCs/>
        </w:rPr>
        <w:t xml:space="preserve">Diagnostics TSLA – TDAH : aspects historiques et scientifiques, rapports à la clinique, pertinence des diagnostics en usage dans les CMPP à l’aune de la thérapeutique </w:t>
      </w:r>
    </w:p>
    <w:p w:rsidR="00932341" w:rsidRPr="00E64D55" w:rsidRDefault="00932341" w:rsidP="001F6C85">
      <w:pPr>
        <w:jc w:val="both"/>
        <w:rPr>
          <w:rFonts w:ascii="Apple Chancery" w:hAnsi="Apple Chancery" w:cs="Apple Chancery"/>
          <w:i/>
          <w:iCs/>
        </w:rPr>
      </w:pPr>
    </w:p>
    <w:p w:rsidR="00E64D55" w:rsidRDefault="00E64D55" w:rsidP="001F6C85">
      <w:pPr>
        <w:jc w:val="both"/>
        <w:rPr>
          <w:i/>
          <w:iCs/>
        </w:rPr>
      </w:pPr>
    </w:p>
    <w:p w:rsidR="00733629" w:rsidRDefault="00BB0454" w:rsidP="001F6C85">
      <w:pPr>
        <w:jc w:val="both"/>
        <w:rPr>
          <w:iCs/>
        </w:rPr>
      </w:pPr>
      <w:r>
        <w:rPr>
          <w:iCs/>
        </w:rPr>
        <w:t>Intervention FDCMPP 22</w:t>
      </w:r>
      <w:r w:rsidR="00E64D55">
        <w:rPr>
          <w:iCs/>
        </w:rPr>
        <w:t xml:space="preserve"> novembre 2019</w:t>
      </w:r>
    </w:p>
    <w:p w:rsidR="00932341" w:rsidRDefault="00932341" w:rsidP="001F6C85">
      <w:pPr>
        <w:jc w:val="both"/>
        <w:rPr>
          <w:iCs/>
        </w:rPr>
      </w:pPr>
    </w:p>
    <w:p w:rsidR="00E64D55" w:rsidRDefault="00E64D55" w:rsidP="001F6C85">
      <w:pPr>
        <w:jc w:val="both"/>
        <w:rPr>
          <w:iCs/>
        </w:rPr>
      </w:pPr>
    </w:p>
    <w:p w:rsidR="00E64D55" w:rsidRPr="00E64D55" w:rsidRDefault="00E64D55" w:rsidP="001F6C85">
      <w:pPr>
        <w:jc w:val="both"/>
        <w:rPr>
          <w:rFonts w:ascii="Apple Chancery" w:hAnsi="Apple Chancery" w:cs="Apple Chancery"/>
          <w:iCs/>
        </w:rPr>
      </w:pPr>
      <w:r>
        <w:rPr>
          <w:iCs/>
        </w:rPr>
        <w:tab/>
      </w:r>
      <w:r>
        <w:rPr>
          <w:rFonts w:ascii="Apple Chancery" w:hAnsi="Apple Chancery" w:cs="Apple Chancery"/>
          <w:iCs/>
        </w:rPr>
        <w:t>Un enfant, c’est pas simple, c’est compliqué</w:t>
      </w:r>
    </w:p>
    <w:p w:rsidR="007A4D82" w:rsidRPr="007A4D82" w:rsidRDefault="007A4D82" w:rsidP="001F6C85">
      <w:pPr>
        <w:jc w:val="both"/>
        <w:rPr>
          <w:i/>
          <w:iCs/>
        </w:rPr>
      </w:pPr>
    </w:p>
    <w:p w:rsidR="007A4D82" w:rsidRDefault="007A4D82" w:rsidP="00E64D55">
      <w:pPr>
        <w:ind w:firstLine="708"/>
        <w:jc w:val="both"/>
        <w:rPr>
          <w:iCs/>
        </w:rPr>
      </w:pPr>
      <w:r w:rsidRPr="007A4D82">
        <w:rPr>
          <w:iCs/>
        </w:rPr>
        <w:t xml:space="preserve">Je vais commencer en partant du diagnostic en </w:t>
      </w:r>
      <w:r w:rsidR="002C25E3">
        <w:rPr>
          <w:iCs/>
        </w:rPr>
        <w:t>CMPP.</w:t>
      </w:r>
      <w:r w:rsidR="00E64D55">
        <w:rPr>
          <w:iCs/>
        </w:rPr>
        <w:t xml:space="preserve"> </w:t>
      </w:r>
      <w:r w:rsidRPr="007A4D82">
        <w:rPr>
          <w:iCs/>
        </w:rPr>
        <w:t xml:space="preserve">Les CMPP sont bâtis sur une </w:t>
      </w:r>
      <w:r w:rsidR="007E3994">
        <w:rPr>
          <w:iCs/>
        </w:rPr>
        <w:t xml:space="preserve">clinique </w:t>
      </w:r>
      <w:r w:rsidR="007F4805">
        <w:rPr>
          <w:iCs/>
        </w:rPr>
        <w:t xml:space="preserve">de </w:t>
      </w:r>
      <w:r w:rsidR="00C43976">
        <w:rPr>
          <w:iCs/>
        </w:rPr>
        <w:t>l</w:t>
      </w:r>
      <w:r w:rsidR="00FD55DB">
        <w:rPr>
          <w:iCs/>
        </w:rPr>
        <w:t>’enfant dans sa globalité</w:t>
      </w:r>
      <w:r w:rsidR="007E3994">
        <w:rPr>
          <w:iCs/>
        </w:rPr>
        <w:t>,</w:t>
      </w:r>
      <w:r w:rsidR="00FD55DB">
        <w:rPr>
          <w:iCs/>
        </w:rPr>
        <w:t xml:space="preserve"> comprenant</w:t>
      </w:r>
      <w:r w:rsidRPr="007A4D82">
        <w:rPr>
          <w:iCs/>
        </w:rPr>
        <w:t xml:space="preserve"> son développement, </w:t>
      </w:r>
      <w:r w:rsidR="00C43976">
        <w:rPr>
          <w:iCs/>
        </w:rPr>
        <w:t xml:space="preserve">sa vie psychique, </w:t>
      </w:r>
      <w:r w:rsidR="00FD55DB">
        <w:rPr>
          <w:iCs/>
        </w:rPr>
        <w:t xml:space="preserve">son fonctionnement </w:t>
      </w:r>
      <w:r w:rsidR="007E3994">
        <w:rPr>
          <w:iCs/>
        </w:rPr>
        <w:t xml:space="preserve">dans son milieu avec l’ensemble des aspects de </w:t>
      </w:r>
      <w:r w:rsidR="00C43976">
        <w:rPr>
          <w:iCs/>
        </w:rPr>
        <w:t>sa vie.</w:t>
      </w:r>
      <w:r w:rsidRPr="007A4D82">
        <w:rPr>
          <w:iCs/>
        </w:rPr>
        <w:t xml:space="preserve"> </w:t>
      </w:r>
      <w:r w:rsidR="00C43976">
        <w:rPr>
          <w:iCs/>
        </w:rPr>
        <w:t>Cela implique</w:t>
      </w:r>
      <w:r w:rsidRPr="007A4D82">
        <w:rPr>
          <w:iCs/>
        </w:rPr>
        <w:t xml:space="preserve"> que les professionnels abordent chacun cette globalité ou si l’on veut cette complexité, qui n’</w:t>
      </w:r>
      <w:r w:rsidR="002C25E3">
        <w:rPr>
          <w:iCs/>
        </w:rPr>
        <w:t>est pas l’apanage d</w:t>
      </w:r>
      <w:r w:rsidRPr="007A4D82">
        <w:rPr>
          <w:iCs/>
        </w:rPr>
        <w:t>es cas difficiles</w:t>
      </w:r>
      <w:r w:rsidR="002C25E3">
        <w:rPr>
          <w:iCs/>
        </w:rPr>
        <w:t xml:space="preserve"> seulement</w:t>
      </w:r>
      <w:r w:rsidR="00C43976">
        <w:rPr>
          <w:iCs/>
        </w:rPr>
        <w:t>. Ils doivent donc</w:t>
      </w:r>
      <w:r w:rsidRPr="007A4D82">
        <w:rPr>
          <w:iCs/>
        </w:rPr>
        <w:t xml:space="preserve"> </w:t>
      </w:r>
      <w:r w:rsidRPr="007A4D82">
        <w:rPr>
          <w:i/>
          <w:iCs/>
        </w:rPr>
        <w:t>s’impliquer personnellement</w:t>
      </w:r>
      <w:r w:rsidR="002C25E3">
        <w:rPr>
          <w:i/>
          <w:iCs/>
        </w:rPr>
        <w:t xml:space="preserve"> et subjectivement</w:t>
      </w:r>
      <w:r w:rsidRPr="007A4D82">
        <w:rPr>
          <w:iCs/>
        </w:rPr>
        <w:t>. Pourquoi subjective</w:t>
      </w:r>
      <w:r w:rsidR="002C25E3">
        <w:rPr>
          <w:iCs/>
        </w:rPr>
        <w:t>ment</w:t>
      </w:r>
      <w:r w:rsidRPr="007A4D82">
        <w:rPr>
          <w:iCs/>
        </w:rPr>
        <w:t xml:space="preserve"> ? Parce que nous sommes </w:t>
      </w:r>
      <w:r w:rsidRPr="007A4D82">
        <w:rPr>
          <w:i/>
          <w:iCs/>
        </w:rPr>
        <w:t>tous dépassés</w:t>
      </w:r>
      <w:r w:rsidRPr="007A4D82">
        <w:rPr>
          <w:iCs/>
        </w:rPr>
        <w:t xml:space="preserve"> par la</w:t>
      </w:r>
      <w:r w:rsidR="002C25E3">
        <w:rPr>
          <w:iCs/>
        </w:rPr>
        <w:t xml:space="preserve"> complexité que je viens d’évoquer</w:t>
      </w:r>
      <w:r w:rsidRPr="007A4D82">
        <w:rPr>
          <w:iCs/>
        </w:rPr>
        <w:t>, qu</w:t>
      </w:r>
      <w:r w:rsidR="00C43976">
        <w:rPr>
          <w:iCs/>
        </w:rPr>
        <w:t>el que soit notre métier</w:t>
      </w:r>
      <w:r w:rsidRPr="007A4D82">
        <w:rPr>
          <w:iCs/>
        </w:rPr>
        <w:t>. Il est impossible de la maitriser, m</w:t>
      </w:r>
      <w:r w:rsidR="002C25E3">
        <w:rPr>
          <w:iCs/>
        </w:rPr>
        <w:t>ême</w:t>
      </w:r>
      <w:r w:rsidR="00C43976">
        <w:rPr>
          <w:iCs/>
        </w:rPr>
        <w:t xml:space="preserve"> pour les cas </w:t>
      </w:r>
      <w:r w:rsidR="002C25E3">
        <w:rPr>
          <w:iCs/>
        </w:rPr>
        <w:t>apparemment simples</w:t>
      </w:r>
      <w:r w:rsidR="009545B4">
        <w:rPr>
          <w:iCs/>
        </w:rPr>
        <w:t xml:space="preserve">. Réfléchir l’articulation </w:t>
      </w:r>
      <w:r w:rsidR="00C43976">
        <w:rPr>
          <w:iCs/>
        </w:rPr>
        <w:t xml:space="preserve">par exemple </w:t>
      </w:r>
      <w:r w:rsidR="009545B4">
        <w:rPr>
          <w:iCs/>
        </w:rPr>
        <w:t>entre</w:t>
      </w:r>
      <w:r w:rsidRPr="007A4D82">
        <w:rPr>
          <w:iCs/>
        </w:rPr>
        <w:t xml:space="preserve"> le développement et le fonctionnement p</w:t>
      </w:r>
      <w:r w:rsidR="00C43976">
        <w:rPr>
          <w:iCs/>
        </w:rPr>
        <w:t>sychique de l’enfant</w:t>
      </w:r>
      <w:r w:rsidRPr="007A4D82">
        <w:rPr>
          <w:iCs/>
        </w:rPr>
        <w:t xml:space="preserve">, se faire une idée de </w:t>
      </w:r>
      <w:r w:rsidR="00C43976">
        <w:rPr>
          <w:iCs/>
        </w:rPr>
        <w:t xml:space="preserve">ce qui est stable </w:t>
      </w:r>
      <w:r w:rsidRPr="007A4D82">
        <w:rPr>
          <w:iCs/>
        </w:rPr>
        <w:t xml:space="preserve">chez lui </w:t>
      </w:r>
      <w:r w:rsidR="00C43976">
        <w:rPr>
          <w:iCs/>
        </w:rPr>
        <w:t xml:space="preserve">pendant un temps en représentant à la fois des possibilités et des </w:t>
      </w:r>
      <w:r w:rsidRPr="007A4D82">
        <w:rPr>
          <w:iCs/>
        </w:rPr>
        <w:t>limite</w:t>
      </w:r>
      <w:r w:rsidR="00C43976">
        <w:rPr>
          <w:iCs/>
        </w:rPr>
        <w:t xml:space="preserve">s </w:t>
      </w:r>
      <w:r w:rsidRPr="007A4D82">
        <w:rPr>
          <w:iCs/>
        </w:rPr>
        <w:t xml:space="preserve">et l’associer à ce qui est son mouvement propre, son choix, sa manière de fonctionner, </w:t>
      </w:r>
      <w:r w:rsidR="00C43976">
        <w:rPr>
          <w:iCs/>
        </w:rPr>
        <w:t xml:space="preserve">sa façon d’être enfant, </w:t>
      </w:r>
      <w:r w:rsidRPr="007A4D82">
        <w:rPr>
          <w:iCs/>
        </w:rPr>
        <w:t xml:space="preserve">ce n’est pas simple ! </w:t>
      </w:r>
      <w:r w:rsidR="00C43976">
        <w:rPr>
          <w:iCs/>
        </w:rPr>
        <w:t>Or c’est le mouvement propre de l’enfant qui est à mobiliser dans une thérapeutique</w:t>
      </w:r>
      <w:r w:rsidR="007F4805">
        <w:rPr>
          <w:iCs/>
        </w:rPr>
        <w:t xml:space="preserve"> mais bien sûr également dans une rééducation</w:t>
      </w:r>
      <w:r w:rsidR="00C43976">
        <w:rPr>
          <w:iCs/>
        </w:rPr>
        <w:t>.</w:t>
      </w:r>
      <w:r w:rsidR="007F4805">
        <w:rPr>
          <w:iCs/>
        </w:rPr>
        <w:t xml:space="preserve"> Parfois on dirait que ça arrive tout seul, une rencontre s’est faite peut-être, l’enfant retrouve le chemin de son apprentissage. Mais parfois c’est plus compliqué. </w:t>
      </w:r>
      <w:r w:rsidR="00C43976">
        <w:rPr>
          <w:iCs/>
        </w:rPr>
        <w:t>Dans l’ensembl</w:t>
      </w:r>
      <w:r w:rsidR="007F4805">
        <w:rPr>
          <w:iCs/>
        </w:rPr>
        <w:t xml:space="preserve">e en CMPP comme en </w:t>
      </w:r>
      <w:r w:rsidR="00C43976">
        <w:rPr>
          <w:iCs/>
        </w:rPr>
        <w:t>psychiatrie</w:t>
      </w:r>
      <w:r w:rsidR="007F4805">
        <w:rPr>
          <w:iCs/>
        </w:rPr>
        <w:t xml:space="preserve"> de l’enfant en général, l</w:t>
      </w:r>
      <w:r w:rsidR="00C43976">
        <w:rPr>
          <w:iCs/>
        </w:rPr>
        <w:t xml:space="preserve">e mouvement propre et singulier de l’enfant est compris comme essentiel </w:t>
      </w:r>
      <w:r w:rsidR="00FD55DB">
        <w:rPr>
          <w:iCs/>
        </w:rPr>
        <w:t>dans son développement : il</w:t>
      </w:r>
      <w:r w:rsidR="00C43976">
        <w:rPr>
          <w:iCs/>
        </w:rPr>
        <w:t xml:space="preserve"> </w:t>
      </w:r>
      <w:r w:rsidR="00C43976" w:rsidRPr="00FD55DB">
        <w:rPr>
          <w:i/>
          <w:iCs/>
        </w:rPr>
        <w:t>devient</w:t>
      </w:r>
      <w:r w:rsidR="00C43976">
        <w:rPr>
          <w:iCs/>
        </w:rPr>
        <w:t xml:space="preserve"> lui même en grandissant. C’est ainsi que le diagnostic en CMPP comporte cette part consacrée à sa subjectivité. </w:t>
      </w:r>
    </w:p>
    <w:p w:rsidR="00E64D55" w:rsidRDefault="00E64D55" w:rsidP="00E64D55">
      <w:pPr>
        <w:ind w:firstLine="708"/>
        <w:jc w:val="both"/>
        <w:rPr>
          <w:iCs/>
        </w:rPr>
      </w:pPr>
    </w:p>
    <w:p w:rsidR="00E64D55" w:rsidRPr="00E64D55" w:rsidRDefault="00E64D55" w:rsidP="00E64D55">
      <w:pPr>
        <w:ind w:firstLine="708"/>
        <w:jc w:val="both"/>
        <w:rPr>
          <w:rFonts w:ascii="Apple Chancery" w:hAnsi="Apple Chancery" w:cs="Apple Chancery"/>
          <w:iCs/>
        </w:rPr>
      </w:pPr>
      <w:r>
        <w:rPr>
          <w:rFonts w:ascii="Apple Chancery" w:hAnsi="Apple Chancery" w:cs="Apple Chancery"/>
          <w:iCs/>
        </w:rPr>
        <w:t>Le diagnostic, une fonction identitaire ?</w:t>
      </w:r>
    </w:p>
    <w:p w:rsidR="009545B4" w:rsidRDefault="009545B4" w:rsidP="001F6C85">
      <w:pPr>
        <w:jc w:val="both"/>
        <w:rPr>
          <w:iCs/>
        </w:rPr>
      </w:pPr>
    </w:p>
    <w:p w:rsidR="007A4D82" w:rsidRDefault="006638EB" w:rsidP="001F6C85">
      <w:pPr>
        <w:ind w:firstLine="708"/>
        <w:jc w:val="both"/>
      </w:pPr>
      <w:r>
        <w:rPr>
          <w:iCs/>
        </w:rPr>
        <w:t xml:space="preserve">Mais qu’en est-il de la pathologie ? </w:t>
      </w:r>
      <w:r w:rsidR="007A4D82" w:rsidRPr="007A4D82">
        <w:rPr>
          <w:iCs/>
        </w:rPr>
        <w:t xml:space="preserve">La psychiatrie est une médecine sans lésions toujours et encore, ce qui pose un problème, puisque la médecine est l’art de soigner ce qui est altéré dans le corps. Il me vient ici une citation à méditer de J. Hochmann dans un texte intitulé </w:t>
      </w:r>
      <w:r w:rsidR="007A4D82" w:rsidRPr="007A4D82">
        <w:rPr>
          <w:i/>
          <w:iCs/>
        </w:rPr>
        <w:t>Les chemins de l’autisme : de la psychopathie à la neurodiversité </w:t>
      </w:r>
      <w:r w:rsidR="007A4D82" w:rsidRPr="007A4D82">
        <w:rPr>
          <w:iCs/>
        </w:rPr>
        <w:t>: « </w:t>
      </w:r>
      <w:r w:rsidR="007A4D82" w:rsidRPr="007A4D82">
        <w:t>Paradoxe […]</w:t>
      </w:r>
      <w:r w:rsidR="006E5F37">
        <w:t xml:space="preserve"> du diagnostic en psychiatrie :</w:t>
      </w:r>
      <w:r w:rsidR="00E64D55">
        <w:rPr>
          <w:b/>
          <w:color w:val="548DD4" w:themeColor="text2" w:themeTint="99"/>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E5F37">
        <w:t xml:space="preserve">il </w:t>
      </w:r>
      <w:r w:rsidR="007A4D82" w:rsidRPr="007A4D82">
        <w:t xml:space="preserve">spécifie peu une action thérapeutique, il a surtout, pour les psychiatres, une fonction identitaire et légitime leur appartenance à la médecine. Il témoigne d’une tension, pour certains insoutenable, entre le désir du médecin d’être médecin et la réalité de la médecine sans lésion qu’il </w:t>
      </w:r>
      <w:r w:rsidR="004A7CC1">
        <w:t>est amené à pratiquer ». E</w:t>
      </w:r>
      <w:r w:rsidR="007A4D82" w:rsidRPr="007A4D82">
        <w:t xml:space="preserve">n effet, </w:t>
      </w:r>
      <w:r w:rsidR="004A7CC1">
        <w:t>le diagnostic ne contient pas de clé pour</w:t>
      </w:r>
      <w:r w:rsidR="007E3994">
        <w:t xml:space="preserve"> traiter le problème</w:t>
      </w:r>
      <w:r w:rsidR="007A4D82" w:rsidRPr="007A4D82">
        <w:t xml:space="preserve"> en psychiatrie, et c’e</w:t>
      </w:r>
      <w:r w:rsidR="006572C6">
        <w:t>st là une affirmation à souligner me semble-t-il</w:t>
      </w:r>
      <w:r w:rsidR="007A4D82" w:rsidRPr="007A4D82">
        <w:t xml:space="preserve"> aujourd’hui, dans le contexte où nous</w:t>
      </w:r>
      <w:r w:rsidR="006572C6">
        <w:t xml:space="preserve"> sommes du diagnostic sur</w:t>
      </w:r>
      <w:r w:rsidR="007A4D82" w:rsidRPr="007A4D82">
        <w:t>investi,</w:t>
      </w:r>
      <w:r w:rsidR="004A7CC1">
        <w:t xml:space="preserve"> </w:t>
      </w:r>
      <w:r w:rsidR="007E3994">
        <w:t>que l’on voudrait</w:t>
      </w:r>
      <w:r w:rsidR="007A4D82" w:rsidRPr="007A4D82">
        <w:t xml:space="preserve"> considérer comme un  point de départ ration</w:t>
      </w:r>
      <w:r w:rsidR="004A7CC1">
        <w:t>nel du traitement</w:t>
      </w:r>
      <w:r w:rsidR="007E3994">
        <w:t>, en fait dans une sorte de magie des mots</w:t>
      </w:r>
      <w:r w:rsidR="004A7CC1">
        <w:t>. N</w:t>
      </w:r>
      <w:r w:rsidR="006572C6">
        <w:t>ous avons une</w:t>
      </w:r>
      <w:r w:rsidR="007A4D82" w:rsidRPr="007A4D82">
        <w:t xml:space="preserve"> responsabilité </w:t>
      </w:r>
      <w:r w:rsidR="006572C6">
        <w:t>par rapport à cette réalité</w:t>
      </w:r>
      <w:r w:rsidR="007A4D82" w:rsidRPr="007A4D82">
        <w:t xml:space="preserve"> que </w:t>
      </w:r>
      <w:r w:rsidR="007A4D82" w:rsidRPr="007A4D82">
        <w:rPr>
          <w:i/>
        </w:rPr>
        <w:t>les diagnostics ne permettent pas de savoir comment faire dans un cas donné.</w:t>
      </w:r>
      <w:r w:rsidR="007A4D82" w:rsidRPr="007A4D82">
        <w:t xml:space="preserve"> </w:t>
      </w:r>
    </w:p>
    <w:p w:rsidR="00E64D55" w:rsidRDefault="00E64D55" w:rsidP="001F6C85">
      <w:pPr>
        <w:ind w:firstLine="708"/>
        <w:jc w:val="both"/>
      </w:pPr>
    </w:p>
    <w:p w:rsidR="00E64D55" w:rsidRPr="00E64D55" w:rsidRDefault="00E64D55" w:rsidP="001F6C85">
      <w:pPr>
        <w:ind w:firstLine="708"/>
        <w:jc w:val="both"/>
        <w:rPr>
          <w:rFonts w:ascii="Apple Chancery" w:hAnsi="Apple Chancery" w:cs="Apple Chancery"/>
        </w:rPr>
      </w:pPr>
      <w:r>
        <w:rPr>
          <w:rFonts w:ascii="Apple Chancery" w:hAnsi="Apple Chancery" w:cs="Apple Chancery"/>
        </w:rPr>
        <w:t>La subjectivité, c’est plus proche d’une discussion que d’un savoir</w:t>
      </w:r>
    </w:p>
    <w:p w:rsidR="007A4D82" w:rsidRPr="007A4D82" w:rsidRDefault="007A4D82" w:rsidP="001F6C85">
      <w:pPr>
        <w:jc w:val="both"/>
      </w:pPr>
    </w:p>
    <w:p w:rsidR="007A4D82" w:rsidRPr="007A4D82" w:rsidRDefault="004A7CC1" w:rsidP="001F6C85">
      <w:pPr>
        <w:widowControl w:val="0"/>
        <w:autoSpaceDE w:val="0"/>
        <w:autoSpaceDN w:val="0"/>
        <w:adjustRightInd w:val="0"/>
        <w:ind w:firstLine="708"/>
        <w:jc w:val="both"/>
      </w:pPr>
      <w:r>
        <w:t>Nous différencions le</w:t>
      </w:r>
      <w:r w:rsidR="007A4D82" w:rsidRPr="007A4D82">
        <w:t xml:space="preserve"> diagnostic portant sur les symptômes e</w:t>
      </w:r>
      <w:r>
        <w:t>t leur éventuel regroupement de la</w:t>
      </w:r>
      <w:r w:rsidR="007A4D82" w:rsidRPr="007A4D82">
        <w:t xml:space="preserve"> question du diagnostic psychopathologique ou pourquoi pas du </w:t>
      </w:r>
      <w:r w:rsidR="007A4D82" w:rsidRPr="007A4D82">
        <w:rPr>
          <w:i/>
        </w:rPr>
        <w:t>diagnostic au cas par cas</w:t>
      </w:r>
      <w:r w:rsidR="007A4D82" w:rsidRPr="007A4D82">
        <w:t xml:space="preserve"> dans cet art </w:t>
      </w:r>
      <w:r>
        <w:t xml:space="preserve">casuistique qu’est la médecine. </w:t>
      </w:r>
      <w:r w:rsidR="006572C6">
        <w:rPr>
          <w:rFonts w:ascii="AppleSystemUIFontItalic" w:hAnsi="AppleSystemUIFontItalic" w:cs="AppleSystemUIFontItalic"/>
          <w:i/>
          <w:iCs/>
          <w:color w:val="353535"/>
        </w:rPr>
        <w:t>Ce diagnostic ou cette évaluation clinique va plus loin, doit aller plus loin, que les symptômes et leur regroupement.</w:t>
      </w:r>
      <w:r w:rsidR="006572C6">
        <w:rPr>
          <w:rFonts w:ascii="AppleSystemUIFont" w:hAnsi="AppleSystemUIFont" w:cs="AppleSystemUIFont"/>
          <w:color w:val="353535"/>
        </w:rPr>
        <w:t xml:space="preserve"> Quel sorte d’espace est ce plus loin ? Est-ce que c’est un savoir ou un espace de discussion ? La subjectivité, si elle doit y trouver une place, s’apparente davantage à la discussion qu’au savoir. </w:t>
      </w:r>
      <w:r w:rsidR="007A4D82" w:rsidRPr="007A4D82">
        <w:t xml:space="preserve">La théorie </w:t>
      </w:r>
      <w:r w:rsidR="006572C6">
        <w:t>y entre en jeu</w:t>
      </w:r>
      <w:r w:rsidR="007A4D82" w:rsidRPr="007A4D82">
        <w:t>, mais une théorie de la pratique issue d’influences diverses</w:t>
      </w:r>
      <w:r>
        <w:t>,</w:t>
      </w:r>
      <w:r w:rsidR="007A4D82" w:rsidRPr="007A4D82">
        <w:t xml:space="preserve"> qui part d’une observation particulière et vise à un diagnostic particulier, l’équivalent d’une analyse clinique. </w:t>
      </w:r>
    </w:p>
    <w:p w:rsidR="007A4D82" w:rsidRPr="007A4D82" w:rsidRDefault="007A4D82" w:rsidP="001F6C85">
      <w:pPr>
        <w:jc w:val="both"/>
      </w:pPr>
    </w:p>
    <w:p w:rsidR="00170735" w:rsidRDefault="007A4D82" w:rsidP="001F6C85">
      <w:pPr>
        <w:ind w:firstLine="708"/>
        <w:jc w:val="both"/>
      </w:pPr>
      <w:r w:rsidRPr="007A4D82">
        <w:t>Ce diagnostic est construit</w:t>
      </w:r>
      <w:r w:rsidR="00170735">
        <w:t xml:space="preserve"> à partir de l’observation clinique dans les entretiens. Mais l’institution en tant que dispositif d’observation y contribue aussi : </w:t>
      </w:r>
      <w:r w:rsidR="000C4D71">
        <w:t>jusqu’aux</w:t>
      </w:r>
      <w:r w:rsidRPr="007A4D82">
        <w:t xml:space="preserve"> secrétaires d’accueil qui échangent au téléphone et dans leur</w:t>
      </w:r>
      <w:r w:rsidR="000C4D71">
        <w:t>s bureaux avec les familles et les</w:t>
      </w:r>
      <w:r w:rsidRPr="007A4D82">
        <w:t xml:space="preserve"> professionnels qui rencontrent e</w:t>
      </w:r>
      <w:r w:rsidR="000C4D71">
        <w:t>n passant en salle d’attente un enfant qui attend</w:t>
      </w:r>
      <w:r w:rsidRPr="007A4D82">
        <w:t xml:space="preserve"> un autre professionnel… </w:t>
      </w:r>
      <w:r w:rsidR="000C4D71">
        <w:t>Une surprise, un élément à explorer, un événement peut surprendre à tout moment et signifier quelque chose à ne pas négliger pour la compréhension.</w:t>
      </w:r>
    </w:p>
    <w:p w:rsidR="007A4D82" w:rsidRPr="007A4D82" w:rsidRDefault="007A4D82" w:rsidP="001F6C85">
      <w:pPr>
        <w:ind w:firstLine="708"/>
        <w:jc w:val="both"/>
      </w:pPr>
      <w:r w:rsidRPr="007A4D82">
        <w:t>Le diagnostic se construit à l’aide de supports théori</w:t>
      </w:r>
      <w:r w:rsidR="00170735">
        <w:t>ques qui sont</w:t>
      </w:r>
      <w:r w:rsidRPr="007A4D82">
        <w:t xml:space="preserve"> « de nature très hétérogène, et leur compatibilité n’est pas toujours évidente »,</w:t>
      </w:r>
      <w:r w:rsidRPr="007A4D82">
        <w:rPr>
          <w:vertAlign w:val="superscript"/>
        </w:rPr>
        <w:footnoteReference w:id="1"/>
      </w:r>
      <w:r w:rsidRPr="007A4D82">
        <w:t xml:space="preserve"> comme nous le rappelle</w:t>
      </w:r>
      <w:r w:rsidR="000C4D71">
        <w:t xml:space="preserve">nt Marcelli et  </w:t>
      </w:r>
      <w:r w:rsidRPr="007A4D82">
        <w:t>Cohen</w:t>
      </w:r>
      <w:r w:rsidR="000C4D71">
        <w:t xml:space="preserve"> dans leur </w:t>
      </w:r>
      <w:r w:rsidR="000C4D71" w:rsidRPr="000C4D71">
        <w:rPr>
          <w:i/>
        </w:rPr>
        <w:t>Manuel de psychopathologie de l’enfant</w:t>
      </w:r>
      <w:r w:rsidRPr="007A4D82">
        <w:t>. En pratique cependant</w:t>
      </w:r>
      <w:r w:rsidR="00170735">
        <w:t xml:space="preserve"> et d’après l’expérience</w:t>
      </w:r>
      <w:r w:rsidRPr="007A4D82">
        <w:t>, si ces supports théoriques tendent parfois à se diffracter sans se rejoindre, la compatibilité des professionnels dans les équipes assure éga</w:t>
      </w:r>
      <w:r w:rsidR="00E64D55">
        <w:t xml:space="preserve">lement celle de leurs théories. </w:t>
      </w:r>
      <w:r w:rsidR="00170735">
        <w:t>La contribution des professionnels à ce diagnosti</w:t>
      </w:r>
      <w:r w:rsidR="00AE08BA">
        <w:t xml:space="preserve">c clinique est aussi d’emblée </w:t>
      </w:r>
      <w:r w:rsidR="00170735">
        <w:t xml:space="preserve">un engagement dans le traitement qui prolonge l’observation et valide </w:t>
      </w:r>
      <w:r w:rsidR="00E36C1D">
        <w:t>ou non sa base de départ.</w:t>
      </w:r>
    </w:p>
    <w:p w:rsidR="007A4D82" w:rsidRPr="007A4D82" w:rsidRDefault="00170735" w:rsidP="001F6C85">
      <w:pPr>
        <w:jc w:val="both"/>
      </w:pPr>
      <w:r>
        <w:t xml:space="preserve"> </w:t>
      </w:r>
    </w:p>
    <w:p w:rsidR="00E64D55" w:rsidRDefault="00E64D55" w:rsidP="001F6C85">
      <w:pPr>
        <w:jc w:val="both"/>
        <w:rPr>
          <w:rFonts w:ascii="Apple Chancery" w:hAnsi="Apple Chancery" w:cs="Apple Chancery"/>
        </w:rPr>
      </w:pPr>
      <w:r>
        <w:tab/>
      </w:r>
      <w:r>
        <w:rPr>
          <w:rFonts w:ascii="Apple Chancery" w:hAnsi="Apple Chancery" w:cs="Apple Chancery"/>
        </w:rPr>
        <w:t>Une clinique de tous les jours</w:t>
      </w:r>
    </w:p>
    <w:p w:rsidR="00E64D55" w:rsidRPr="00E64D55" w:rsidRDefault="00E64D55" w:rsidP="001F6C85">
      <w:pPr>
        <w:jc w:val="both"/>
        <w:rPr>
          <w:rFonts w:ascii="Apple Chancery" w:hAnsi="Apple Chancery" w:cs="Apple Chancery"/>
        </w:rPr>
      </w:pPr>
    </w:p>
    <w:p w:rsidR="007A4D82" w:rsidRDefault="007A4D82" w:rsidP="001F6C85">
      <w:pPr>
        <w:ind w:firstLine="708"/>
        <w:jc w:val="both"/>
      </w:pPr>
      <w:r w:rsidRPr="007A4D82">
        <w:t xml:space="preserve">Un retard de langage, des difficultés dans les apprentissages ou une instabilité du comportement sont des champs traditionnels de la clinique en CMPP. Le diagnostic peut </w:t>
      </w:r>
      <w:r w:rsidR="00AE08BA">
        <w:t xml:space="preserve"> </w:t>
      </w:r>
      <w:r w:rsidRPr="007A4D82">
        <w:t>comporter une évaluation orthophonique, psychomotrice, psychopédagogique, l’apport des bilans effectués par la psychologue scolaire, tout bilan complémentaire pouvant intéresser la réflexion clinique. Le diagnostic s’intéresse à l’enfant comme petit sujet en devenir avec une réflexion sur la fonction possible de son symptôme pour lui-même et pour ses proches, en particulier lorsque rien de patent et encore moins de spectaculaire n’attire l’attention sur une difficulté psychologique ou familiale. L’expérience clinique montrant en fait que souvent, une difficulté qui peut sembler instrumentale comme par exemple</w:t>
      </w:r>
      <w:r w:rsidR="00576E7B">
        <w:t xml:space="preserve"> un retard de langage, évolue dès les </w:t>
      </w:r>
      <w:r w:rsidR="00BC4A75">
        <w:t xml:space="preserve">premières </w:t>
      </w:r>
      <w:r w:rsidR="00576E7B">
        <w:t>consultations</w:t>
      </w:r>
      <w:r w:rsidRPr="007A4D82">
        <w:t xml:space="preserve"> </w:t>
      </w:r>
      <w:r w:rsidR="00576E7B">
        <w:t xml:space="preserve">familiales de bilan </w:t>
      </w:r>
      <w:r w:rsidRPr="007A4D82">
        <w:t xml:space="preserve">ou qu’inversement, une rééducation peut apporter un changement qualitatif dans les positionnements de l’enfant, voire des parents. </w:t>
      </w:r>
      <w:r w:rsidR="00A860DB">
        <w:t xml:space="preserve">Je dis là des faits d’observation courante. </w:t>
      </w:r>
      <w:r w:rsidRPr="007A4D82">
        <w:t>Quant à l’enfant qui n’écoute pas quand on veut qu’il écoute ou qui s’agite, il est accueilli comme un jeune sujet dont l’inattention et le comportement participent à la globalité de sa situation du moment, de sa maturation ps</w:t>
      </w:r>
      <w:r w:rsidR="00A860DB">
        <w:t>ychique et physique et s’inscrivent dans sa vie</w:t>
      </w:r>
      <w:r w:rsidRPr="007A4D82">
        <w:t>. La non-adéquation de l’enfant aux situations notamment scolaires dans lesquelles il doit savoir être et se comporter sous le regard adult</w:t>
      </w:r>
      <w:r w:rsidR="00A860DB">
        <w:t>e renseigne et interroge régulièrement</w:t>
      </w:r>
      <w:r w:rsidRPr="007A4D82">
        <w:t xml:space="preserve"> sur cette norme et son adéquation</w:t>
      </w:r>
      <w:r w:rsidR="00BC4A75">
        <w:t xml:space="preserve"> ou inadéquation</w:t>
      </w:r>
      <w:r w:rsidRPr="007A4D82">
        <w:t xml:space="preserve"> à l’enfant, mais aussi sur la relation des adultes à cette norme et enfin sur la relation entre les adultes et l’enfant. Il pourrait sembler cohérent que la clinique</w:t>
      </w:r>
      <w:r w:rsidR="00BC4A75">
        <w:t>,</w:t>
      </w:r>
      <w:r w:rsidRPr="007A4D82">
        <w:t xml:space="preserve"> telle qu’elle se pratique en CMPP</w:t>
      </w:r>
      <w:r w:rsidR="00BC4A75">
        <w:t>,</w:t>
      </w:r>
      <w:r w:rsidRPr="007A4D82">
        <w:t xml:space="preserve"> avec une attention à l’environnement de l’enfant</w:t>
      </w:r>
      <w:r w:rsidR="00BC4A75">
        <w:t>,</w:t>
      </w:r>
      <w:r w:rsidRPr="007A4D82">
        <w:t xml:space="preserve"> soit particulièrement reconnue dans ce domaine. </w:t>
      </w:r>
    </w:p>
    <w:p w:rsidR="002F18CF" w:rsidRDefault="002F18CF" w:rsidP="001F6C85">
      <w:pPr>
        <w:jc w:val="both"/>
      </w:pPr>
    </w:p>
    <w:p w:rsidR="00E64D55" w:rsidRDefault="00E64D55" w:rsidP="001F6C85">
      <w:pPr>
        <w:jc w:val="both"/>
        <w:rPr>
          <w:rFonts w:ascii="Apple Chancery" w:hAnsi="Apple Chancery" w:cs="Apple Chancery"/>
        </w:rPr>
      </w:pPr>
      <w:r>
        <w:tab/>
      </w:r>
      <w:r>
        <w:rPr>
          <w:rFonts w:ascii="Apple Chancery" w:hAnsi="Apple Chancery" w:cs="Apple Chancery"/>
        </w:rPr>
        <w:t>Les troubles neurodéveloppementaux et les transformations actuelles de l’offre de soin</w:t>
      </w:r>
    </w:p>
    <w:p w:rsidR="00E64D55" w:rsidRPr="00E64D55" w:rsidRDefault="00E64D55" w:rsidP="001F6C85">
      <w:pPr>
        <w:jc w:val="both"/>
        <w:rPr>
          <w:rFonts w:ascii="Apple Chancery" w:hAnsi="Apple Chancery" w:cs="Apple Chancery"/>
        </w:rPr>
      </w:pPr>
    </w:p>
    <w:p w:rsidR="002D7E56" w:rsidRDefault="007A4D82" w:rsidP="001F6C85">
      <w:pPr>
        <w:ind w:firstLine="708"/>
        <w:jc w:val="both"/>
      </w:pPr>
      <w:r w:rsidRPr="007A4D82">
        <w:t>Mais nous assistons à autre chose que nous allons maintenant aborder </w:t>
      </w:r>
      <w:r w:rsidR="007F4805">
        <w:t>et commenter en revenant également</w:t>
      </w:r>
      <w:r w:rsidR="00A860DB">
        <w:t xml:space="preserve"> à l’intérêt du</w:t>
      </w:r>
      <w:r w:rsidR="006F058E">
        <w:t xml:space="preserve"> diagnostic « en usage » et non standardisé </w:t>
      </w:r>
      <w:r w:rsidR="00A860DB">
        <w:t>en CMPP</w:t>
      </w:r>
      <w:r w:rsidR="006F058E">
        <w:t>.</w:t>
      </w:r>
      <w:r w:rsidR="00A860DB">
        <w:t xml:space="preserve"> </w:t>
      </w:r>
      <w:r w:rsidR="006F058E">
        <w:t>L</w:t>
      </w:r>
      <w:r w:rsidRPr="007A4D82">
        <w:t>es retards de langage, difficultés d’apprentissage</w:t>
      </w:r>
      <w:r w:rsidR="002D7E56">
        <w:t>,</w:t>
      </w:r>
      <w:r w:rsidRPr="007A4D82">
        <w:t xml:space="preserve"> ainsi que l’instabilité psychomotrice bien connue comme symptôme non spécifique ont acquis des limites nouvelles et pourrait-on dire une dignité différente dans un champ qui</w:t>
      </w:r>
      <w:r w:rsidR="006F058E">
        <w:t xml:space="preserve"> apparaît avec insistance</w:t>
      </w:r>
      <w:r w:rsidRPr="007A4D82">
        <w:t xml:space="preserve"> : </w:t>
      </w:r>
      <w:r w:rsidRPr="007A4D82">
        <w:rPr>
          <w:i/>
        </w:rPr>
        <w:t>les troubles neuro-développementaux</w:t>
      </w:r>
      <w:r w:rsidRPr="007A4D82">
        <w:t xml:space="preserve"> ou TND</w:t>
      </w:r>
      <w:r w:rsidRPr="007A4D82">
        <w:rPr>
          <w:i/>
        </w:rPr>
        <w:t>.</w:t>
      </w:r>
      <w:r w:rsidRPr="007A4D82">
        <w:t xml:space="preserve"> En compagnie des troubles du spectre autistique et du retard mental, </w:t>
      </w:r>
      <w:r w:rsidRPr="007A4D82">
        <w:rPr>
          <w:i/>
        </w:rPr>
        <w:t xml:space="preserve">les troubles spécifiques du langage et de l’apprentissage ou TSLA </w:t>
      </w:r>
      <w:r w:rsidRPr="007A4D82">
        <w:t xml:space="preserve">et le </w:t>
      </w:r>
      <w:r w:rsidRPr="007A4D82">
        <w:rPr>
          <w:i/>
        </w:rPr>
        <w:t>trouble déficitaire de l’attention avec ou sans hyperactivité ou TDA/H</w:t>
      </w:r>
      <w:r w:rsidRPr="007A4D82">
        <w:t xml:space="preserve">, grâce à l’action conjuguée de la HAS, des sites d’hôpitaux publiques, de sites privés, en particulier d’associations de parents ou de patients, tendent à largement occuper la toile avec ce signifiant TND. </w:t>
      </w:r>
    </w:p>
    <w:p w:rsidR="002D7E56" w:rsidRDefault="002D7E56" w:rsidP="001F6C85">
      <w:pPr>
        <w:ind w:firstLine="708"/>
        <w:jc w:val="both"/>
      </w:pPr>
    </w:p>
    <w:p w:rsidR="007A1513" w:rsidRDefault="002D7E56" w:rsidP="001F6C85">
      <w:pPr>
        <w:ind w:firstLine="708"/>
        <w:jc w:val="both"/>
      </w:pPr>
      <w:r>
        <w:t>En soi, l’expression</w:t>
      </w:r>
      <w:r w:rsidR="007A4D82" w:rsidRPr="007A4D82">
        <w:t xml:space="preserve"> provient de la traduction du DSM</w:t>
      </w:r>
      <w:r>
        <w:t xml:space="preserve"> </w:t>
      </w:r>
      <w:r w:rsidR="007A4D82" w:rsidRPr="007A4D82">
        <w:t>V en français en 2015 et consacre la révision contestée du DSM</w:t>
      </w:r>
      <w:r>
        <w:t xml:space="preserve"> </w:t>
      </w:r>
      <w:r w:rsidR="007A4D82" w:rsidRPr="007A4D82">
        <w:t>IV pour passer d’une logique multiaxiale référée à une pathologie principale, à une logique dimensionnelle destinée à être plus proche des patients « dans la vie réelle », en fait élargissant fortement le répertoi</w:t>
      </w:r>
      <w:r w:rsidR="006F058E">
        <w:t>re des diagnostics et créant de</w:t>
      </w:r>
      <w:r w:rsidR="007A4D82" w:rsidRPr="007A4D82">
        <w:t xml:space="preserve"> vastes « dimensions » comp</w:t>
      </w:r>
      <w:r w:rsidR="002F18CF">
        <w:t>lètement assumées dans leur non-</w:t>
      </w:r>
      <w:r w:rsidR="007A4D82" w:rsidRPr="007A4D82">
        <w:t xml:space="preserve">validité quant à une quelconque homogénéité physio ou psychopathologique, mais inclusives depuis le plus léger trouble au plus lourd handicap. L’appellation TND venant identifier quelque chose comme un </w:t>
      </w:r>
      <w:r>
        <w:t>« cerveau différent », mais c’est une aura, une ambiance de langage, sans aucune objectivité</w:t>
      </w:r>
      <w:r w:rsidR="007A4D82" w:rsidRPr="007A4D82">
        <w:t xml:space="preserve">. </w:t>
      </w:r>
      <w:r w:rsidR="001E3D7D">
        <w:t>Les TND relèvent-ils</w:t>
      </w:r>
      <w:r w:rsidR="006624DD">
        <w:t xml:space="preserve"> </w:t>
      </w:r>
      <w:r w:rsidR="001E3D7D">
        <w:t xml:space="preserve">vraiment </w:t>
      </w:r>
      <w:r w:rsidR="006624DD">
        <w:t xml:space="preserve">de </w:t>
      </w:r>
      <w:r w:rsidR="001E3D7D">
        <w:t>la ps</w:t>
      </w:r>
      <w:r w:rsidR="00E64D55">
        <w:t xml:space="preserve">ychiatrie ? Ce n’est pas clair. </w:t>
      </w:r>
      <w:r w:rsidR="001E3D7D">
        <w:t xml:space="preserve">Pourtant, leur apparition provient du manuel diagnostique et statistique des troubles mentaux. </w:t>
      </w:r>
    </w:p>
    <w:p w:rsidR="007A4D82" w:rsidRPr="001E3D7D" w:rsidRDefault="007A4D82" w:rsidP="001F6C85">
      <w:pPr>
        <w:ind w:firstLine="708"/>
        <w:jc w:val="both"/>
        <w:rPr>
          <w:b/>
          <w14:textOutline w14:w="10541" w14:cap="flat" w14:cmpd="sng" w14:algn="ctr">
            <w14:solidFill>
              <w14:schemeClr w14:val="accent1">
                <w14:shade w14:val="88000"/>
                <w14:satMod w14:val="110000"/>
              </w14:schemeClr>
            </w14:solidFill>
            <w14:prstDash w14:val="solid"/>
            <w14:round/>
          </w14:textOutline>
        </w:rPr>
      </w:pPr>
      <w:r w:rsidRPr="007A4D82">
        <w:t>En parallèle, de vastes transformations ont cours</w:t>
      </w:r>
      <w:r w:rsidR="002D7E56">
        <w:t xml:space="preserve"> en France, réorganisant la </w:t>
      </w:r>
      <w:r w:rsidRPr="007A4D82">
        <w:t xml:space="preserve">psychiatrie de l’enfant et de l’adolescent et les antennes de proximité qui lui sont associées, les CMP et les CMPP. </w:t>
      </w:r>
      <w:r w:rsidR="007A1513">
        <w:t xml:space="preserve">Il me paraît indispensable d’en dire un mot. </w:t>
      </w:r>
      <w:r w:rsidRPr="007A4D82">
        <w:t xml:space="preserve">Dans ce nouvel univers, les </w:t>
      </w:r>
      <w:r w:rsidRPr="007A4D82">
        <w:rPr>
          <w:i/>
        </w:rPr>
        <w:t>parcours</w:t>
      </w:r>
      <w:r w:rsidRPr="007A4D82">
        <w:t xml:space="preserve"> ont un rôle important et les institutions reçoivent les appellations </w:t>
      </w:r>
      <w:r w:rsidRPr="007A4D82">
        <w:rPr>
          <w:i/>
        </w:rPr>
        <w:t>niveau 1, niveau 2, niveau 3.</w:t>
      </w:r>
      <w:r w:rsidRPr="007A4D82">
        <w:t xml:space="preserve"> </w:t>
      </w:r>
      <w:r w:rsidR="007A1513">
        <w:t xml:space="preserve">Le niveau 1 qui comporte le suivi quotidien ne comporte pas ou rarement l’intervention d’un psychiatre. </w:t>
      </w:r>
      <w:r w:rsidR="002D7E56">
        <w:t xml:space="preserve">Je ne crois pas me tromper en disant que les parcours résultent de l’influence des associations de familles sur les décisions de politique de santé. </w:t>
      </w:r>
      <w:r w:rsidRPr="007A4D82">
        <w:t xml:space="preserve">Les familles sont </w:t>
      </w:r>
      <w:r w:rsidR="002D7E56">
        <w:t xml:space="preserve">dans ce nouveau paysage </w:t>
      </w:r>
      <w:r w:rsidRPr="007A4D82">
        <w:t xml:space="preserve">apparemment rois, elles </w:t>
      </w:r>
      <w:r w:rsidR="006F058E">
        <w:t>paraissent de plus en  plus décisionnaires</w:t>
      </w:r>
      <w:r w:rsidRPr="007A4D82">
        <w:t xml:space="preserve">, en fait elles sont amenées à recruter les professionnels avec des chances </w:t>
      </w:r>
      <w:r w:rsidR="006F058E">
        <w:t xml:space="preserve">souvent </w:t>
      </w:r>
      <w:r w:rsidRPr="007A4D82">
        <w:t>minimes de les trouver présents et disponibles. Elles n’ont plus accès aux antennes de proximité dans leur grande majorité, comme en témoignent les listes d’attente partout énormes. Les parcours sont basés par hypothèse sur des élém</w:t>
      </w:r>
      <w:r w:rsidR="006F058E">
        <w:t>ents de diagnostic objectifs grâce à</w:t>
      </w:r>
      <w:r w:rsidRPr="007A4D82">
        <w:t xml:space="preserve"> l’effectuation </w:t>
      </w:r>
      <w:r w:rsidR="006F058E">
        <w:t>de bilans standardisés</w:t>
      </w:r>
      <w:r w:rsidRPr="007A4D82">
        <w:t xml:space="preserve">. </w:t>
      </w:r>
      <w:r w:rsidR="007A1513">
        <w:t xml:space="preserve">Des </w:t>
      </w:r>
      <w:r w:rsidRPr="007A4D82">
        <w:t>plateformes de coordination se montent pour réaliser des bilans diagnostiques, le</w:t>
      </w:r>
      <w:r w:rsidR="006F058E">
        <w:t xml:space="preserve"> traitement quotidien étant à poursuivre</w:t>
      </w:r>
      <w:r w:rsidRPr="007A4D82">
        <w:t xml:space="preserve"> ailleurs en libéral ou peut-être en institut</w:t>
      </w:r>
      <w:r w:rsidR="00DD6653">
        <w:t xml:space="preserve">ion pour les cas plus sévères. Qu’est-ce que sont et seront ces plateformes, quel est et sera leur lien avec la clinique du cas par cas indissociable de la dimension thérapeutique, c’est l’avenir qui le dira. </w:t>
      </w:r>
    </w:p>
    <w:p w:rsidR="00DD6653" w:rsidRPr="007A4D82" w:rsidRDefault="00DD6653" w:rsidP="001F6C85">
      <w:pPr>
        <w:jc w:val="both"/>
      </w:pPr>
    </w:p>
    <w:p w:rsidR="00E64D55" w:rsidRDefault="00E64D55" w:rsidP="001F6C85">
      <w:pPr>
        <w:ind w:firstLine="708"/>
        <w:jc w:val="both"/>
        <w:rPr>
          <w:rFonts w:ascii="Apple Chancery" w:hAnsi="Apple Chancery" w:cs="Apple Chancery"/>
        </w:rPr>
      </w:pPr>
      <w:r w:rsidRPr="00E64D55">
        <w:rPr>
          <w:rFonts w:ascii="Apple Chancery" w:hAnsi="Apple Chancery" w:cs="Apple Chancery"/>
        </w:rPr>
        <w:t>Lire le guide-parcours des TSLA dans le texte</w:t>
      </w:r>
    </w:p>
    <w:p w:rsidR="00932341" w:rsidRPr="00E64D55" w:rsidRDefault="00932341" w:rsidP="001F6C85">
      <w:pPr>
        <w:ind w:firstLine="708"/>
        <w:jc w:val="both"/>
        <w:rPr>
          <w:rFonts w:ascii="Apple Chancery" w:hAnsi="Apple Chancery" w:cs="Apple Chancery"/>
        </w:rPr>
      </w:pPr>
    </w:p>
    <w:p w:rsidR="007A4D82" w:rsidRPr="007A4D82" w:rsidRDefault="00E64D55" w:rsidP="001F6C85">
      <w:pPr>
        <w:ind w:firstLine="708"/>
        <w:jc w:val="both"/>
      </w:pPr>
      <w:r>
        <w:t xml:space="preserve">En </w:t>
      </w:r>
      <w:r w:rsidR="007A1513">
        <w:t xml:space="preserve">décembre 2017,  un </w:t>
      </w:r>
      <w:r w:rsidR="007A4D82" w:rsidRPr="007A4D82">
        <w:t xml:space="preserve">document </w:t>
      </w:r>
      <w:r w:rsidR="007A1513">
        <w:t xml:space="preserve">était </w:t>
      </w:r>
      <w:r w:rsidR="007A4D82" w:rsidRPr="007A4D82">
        <w:t xml:space="preserve">publié par la Haute Autorité de Santé sur les parcours TSLA, intitulé </w:t>
      </w:r>
      <w:r w:rsidR="007A4D82" w:rsidRPr="007A4D82">
        <w:rPr>
          <w:i/>
        </w:rPr>
        <w:t>Comment améliorer le parcours de santé d’un enfant avec troubles spécifiques du langage et des apprentissages</w:t>
      </w:r>
      <w:r w:rsidR="007A4D82" w:rsidRPr="007A4D82">
        <w:rPr>
          <w:i/>
          <w:vertAlign w:val="superscript"/>
        </w:rPr>
        <w:footnoteReference w:id="2"/>
      </w:r>
      <w:r w:rsidR="007A4D82" w:rsidRPr="007A4D82">
        <w:rPr>
          <w:i/>
        </w:rPr>
        <w:t xml:space="preserve">. </w:t>
      </w:r>
      <w:r w:rsidR="007A1513">
        <w:t>I</w:t>
      </w:r>
      <w:r w:rsidR="00DD6653">
        <w:t xml:space="preserve">l </w:t>
      </w:r>
      <w:r w:rsidR="00DD6653" w:rsidRPr="007A4D82">
        <w:t>préconise une organisation des dispositifs de soin</w:t>
      </w:r>
      <w:r w:rsidR="007A1513">
        <w:t xml:space="preserve"> en même temps qu’</w:t>
      </w:r>
      <w:r w:rsidR="00DD6653">
        <w:t>il</w:t>
      </w:r>
      <w:r w:rsidR="007A1513">
        <w:t xml:space="preserve"> propose une vision</w:t>
      </w:r>
      <w:r w:rsidR="007A4D82" w:rsidRPr="007A4D82">
        <w:t xml:space="preserve"> scientifique sous le nom de « Troubles spécifiques du langage et des apprentissag</w:t>
      </w:r>
      <w:r w:rsidR="006F058E">
        <w:t>es ». Je vous livrerai</w:t>
      </w:r>
      <w:r w:rsidR="007A4D82" w:rsidRPr="007A4D82">
        <w:t xml:space="preserve"> un commentaire un </w:t>
      </w:r>
      <w:r w:rsidR="006F058E">
        <w:t>petit peu détaillé, n’ayant pas</w:t>
      </w:r>
      <w:r w:rsidR="007A4D82" w:rsidRPr="007A4D82">
        <w:t xml:space="preserve"> pu lire ce texte tant q</w:t>
      </w:r>
      <w:r w:rsidR="006F058E">
        <w:t>ue je ne me suis pas un tant soi peu</w:t>
      </w:r>
      <w:r w:rsidR="007A4D82" w:rsidRPr="007A4D82">
        <w:t xml:space="preserve"> documenté</w:t>
      </w:r>
      <w:r w:rsidR="006F058E">
        <w:t xml:space="preserve">e </w:t>
      </w:r>
      <w:r w:rsidR="007A4D82" w:rsidRPr="007A4D82">
        <w:t>sur les rapports</w:t>
      </w:r>
      <w:r w:rsidR="00FB34D2">
        <w:t xml:space="preserve"> qui l’ont précédé. Je l’ai perçu</w:t>
      </w:r>
      <w:r w:rsidR="007A4D82" w:rsidRPr="007A4D82">
        <w:t xml:space="preserve"> comme un ex</w:t>
      </w:r>
      <w:r w:rsidR="00FB34D2">
        <w:t>ercice d’analyse de texte, nécessitant</w:t>
      </w:r>
      <w:r w:rsidR="007A4D82" w:rsidRPr="007A4D82">
        <w:t xml:space="preserve"> le déchiffrage d’une langue spé</w:t>
      </w:r>
      <w:r w:rsidR="00FB34D2">
        <w:t>cifique, une sorte de mélange de vulgarisation sur un</w:t>
      </w:r>
      <w:r w:rsidR="007A4D82" w:rsidRPr="007A4D82">
        <w:t xml:space="preserve"> s</w:t>
      </w:r>
      <w:r w:rsidR="00AA040E">
        <w:t>ujet spécialisé et de</w:t>
      </w:r>
      <w:r w:rsidR="00FB34D2">
        <w:t xml:space="preserve"> préconisations administratives</w:t>
      </w:r>
      <w:r w:rsidR="00713D59">
        <w:t>.</w:t>
      </w:r>
    </w:p>
    <w:p w:rsidR="007A4D82" w:rsidRPr="007A4D82" w:rsidRDefault="007A4D82" w:rsidP="001F6C85">
      <w:pPr>
        <w:jc w:val="both"/>
      </w:pPr>
    </w:p>
    <w:p w:rsidR="007A4D82" w:rsidRPr="007A4D82" w:rsidRDefault="007A4D82" w:rsidP="001F6C85">
      <w:pPr>
        <w:ind w:firstLine="708"/>
        <w:jc w:val="both"/>
      </w:pPr>
      <w:r w:rsidRPr="007A4D82">
        <w:t>Il y a d’abord l’ampleur du phénomène. Il concernerait 8 % des enfants, d’après les études internationales</w:t>
      </w:r>
      <w:r w:rsidRPr="007A4D82">
        <w:rPr>
          <w:vertAlign w:val="superscript"/>
        </w:rPr>
        <w:footnoteReference w:id="3"/>
      </w:r>
      <w:r w:rsidRPr="007A4D82">
        <w:t xml:space="preserve">. A ce niveau épidémiologique premier, il est instructif de se reporter aux rapports antérieurs. En 2000, nous avions un aperçu de la complexité de la question épidémiologique avec une fréquence allant de 1% à 25% dans les pays d’Europe occidentale et Etats-Unis réunis </w:t>
      </w:r>
      <w:r w:rsidRPr="007A4D82">
        <w:rPr>
          <w:vertAlign w:val="superscript"/>
        </w:rPr>
        <w:footnoteReference w:id="4"/>
      </w:r>
      <w:r w:rsidRPr="007A4D82">
        <w:t xml:space="preserve"> D’autre part, dans une expertise collective de l’Inserm consacrée au sujet en 2007,</w:t>
      </w:r>
      <w:r w:rsidRPr="007A4D82">
        <w:rPr>
          <w:vertAlign w:val="superscript"/>
        </w:rPr>
        <w:footnoteReference w:id="5"/>
      </w:r>
      <w:r w:rsidRPr="007A4D82">
        <w:t xml:space="preserve"> nous avions une réflexion sur l’épidémiologie : « la prévalence n’est pas connue, faute d’études représentatives de la population générale ! Néanmoins différents travaux estiment cette prévalence à “un peu moins de 5%“ : la fréquence “scientifiquement énoncée“ est comme tout affaire de compromis avec des variations qui font passer l’image du trouble de relativement marginal à une affaire de santé publique. D’autre part, les dyslexies représenteraient environ un quart des enfants ayant des difficultés de lecture ! »</w:t>
      </w:r>
      <w:r w:rsidRPr="007A4D82">
        <w:rPr>
          <w:vertAlign w:val="superscript"/>
        </w:rPr>
        <w:footnoteReference w:id="6"/>
      </w:r>
      <w:r w:rsidRPr="007A4D82">
        <w:t xml:space="preserve"> Ces remarques de 2007 éclairent le pourcentage présenté sans contextualisation en 2018.</w:t>
      </w:r>
    </w:p>
    <w:p w:rsidR="007A4D82" w:rsidRDefault="007A4D82" w:rsidP="001F6C85">
      <w:pPr>
        <w:ind w:firstLine="708"/>
        <w:jc w:val="both"/>
      </w:pPr>
      <w:r w:rsidRPr="007A4D82">
        <w:t xml:space="preserve">Deux aspects de la </w:t>
      </w:r>
      <w:r w:rsidR="001E1D8E">
        <w:t xml:space="preserve">vision </w:t>
      </w:r>
      <w:r w:rsidRPr="007A4D82">
        <w:t>scient</w:t>
      </w:r>
      <w:r w:rsidR="001E1D8E">
        <w:t>ifique du guide TSLA m’ont semblé</w:t>
      </w:r>
      <w:r w:rsidRPr="007A4D82">
        <w:t xml:space="preserve"> à l</w:t>
      </w:r>
      <w:r w:rsidR="00932341">
        <w:t xml:space="preserve">a lecture le plus questionnant. </w:t>
      </w:r>
      <w:r w:rsidRPr="007A4D82">
        <w:t xml:space="preserve">La référence neurologique </w:t>
      </w:r>
      <w:r w:rsidR="001E1D8E">
        <w:t xml:space="preserve">est </w:t>
      </w:r>
      <w:r w:rsidRPr="007A4D82">
        <w:t>posée comme une certitude de l’origine d’une part</w:t>
      </w:r>
      <w:r w:rsidR="001E1D8E">
        <w:t xml:space="preserve"> et d’autre part la démarche diagnostique </w:t>
      </w:r>
      <w:r w:rsidRPr="007A4D82">
        <w:t>interdit la clinique</w:t>
      </w:r>
      <w:r w:rsidR="001E1D8E">
        <w:t xml:space="preserve"> non référencée explicitement comme cognitive,</w:t>
      </w:r>
      <w:r w:rsidRPr="007A4D82">
        <w:t xml:space="preserve"> comme un danger </w:t>
      </w:r>
      <w:r w:rsidR="001E1D8E">
        <w:t xml:space="preserve">qui pourrait peser </w:t>
      </w:r>
      <w:r w:rsidRPr="007A4D82">
        <w:t xml:space="preserve">sur un diagnostic pur. Je vais prendre ces deux aspects avant de présenter </w:t>
      </w:r>
      <w:r w:rsidR="00307C69">
        <w:t xml:space="preserve">quelques commentaires cliniques. </w:t>
      </w:r>
    </w:p>
    <w:p w:rsidR="00932341" w:rsidRDefault="00932341" w:rsidP="001F6C85">
      <w:pPr>
        <w:ind w:firstLine="708"/>
        <w:jc w:val="both"/>
      </w:pPr>
    </w:p>
    <w:p w:rsidR="00932341" w:rsidRDefault="00C83EAF" w:rsidP="001F6C85">
      <w:pPr>
        <w:ind w:firstLine="708"/>
        <w:jc w:val="both"/>
        <w:rPr>
          <w:rFonts w:ascii="Apple Chancery" w:hAnsi="Apple Chancery" w:cs="Apple Chancery"/>
        </w:rPr>
      </w:pPr>
      <w:r>
        <w:rPr>
          <w:rFonts w:ascii="Apple Chancery" w:hAnsi="Apple Chancery" w:cs="Apple Chancery"/>
        </w:rPr>
        <w:t>C’est fini la discussion sur différentes conceptions possibles de la dyslexie</w:t>
      </w:r>
    </w:p>
    <w:p w:rsidR="00932341" w:rsidRPr="00932341" w:rsidRDefault="00932341" w:rsidP="001F6C85">
      <w:pPr>
        <w:ind w:firstLine="708"/>
        <w:jc w:val="both"/>
        <w:rPr>
          <w:rFonts w:ascii="Apple Chancery" w:hAnsi="Apple Chancery" w:cs="Apple Chancery"/>
        </w:rPr>
      </w:pPr>
    </w:p>
    <w:p w:rsidR="007A4D82" w:rsidRPr="007A4D82" w:rsidRDefault="00307C69" w:rsidP="001F6C85">
      <w:pPr>
        <w:ind w:firstLine="708"/>
        <w:jc w:val="both"/>
      </w:pPr>
      <w:r>
        <w:t>L</w:t>
      </w:r>
      <w:r w:rsidR="007A4D82" w:rsidRPr="007A4D82">
        <w:t>e p</w:t>
      </w:r>
      <w:r w:rsidR="00C7152E">
        <w:t xml:space="preserve">oint-pivot de tout le guide est </w:t>
      </w:r>
      <w:r w:rsidR="007A4D82" w:rsidRPr="007A4D82">
        <w:t xml:space="preserve">la notion que nous </w:t>
      </w:r>
      <w:r w:rsidR="00713D59">
        <w:t xml:space="preserve"> </w:t>
      </w:r>
      <w:r w:rsidR="007A4D82" w:rsidRPr="007A4D82">
        <w:t>sommes devant un trouble neuro-développemental dont les fonde</w:t>
      </w:r>
      <w:r w:rsidR="00C7152E">
        <w:t>ments biologiques sont reconnus.</w:t>
      </w:r>
      <w:r w:rsidR="00932341">
        <w:rPr>
          <w:rStyle w:val="Marquenotebasdepage"/>
        </w:rPr>
        <w:footnoteReference w:id="7"/>
      </w:r>
      <w:r w:rsidR="00C7152E">
        <w:t xml:space="preserve"> Et </w:t>
      </w:r>
      <w:r w:rsidR="007A4D82" w:rsidRPr="007A4D82">
        <w:t xml:space="preserve"> </w:t>
      </w:r>
      <w:r w:rsidR="00C7152E">
        <w:t>c’</w:t>
      </w:r>
      <w:r w:rsidR="007A4D82" w:rsidRPr="007A4D82">
        <w:t>est en contradiction formelle avec les conclusions de l</w:t>
      </w:r>
      <w:r w:rsidR="00932341">
        <w:t xml:space="preserve">’expertise de l’Inserm en 2007. </w:t>
      </w:r>
      <w:r w:rsidR="007A4D82" w:rsidRPr="007A4D82">
        <w:t xml:space="preserve">Dans la </w:t>
      </w:r>
      <w:r w:rsidR="007A4D82" w:rsidRPr="007A4D82">
        <w:rPr>
          <w:i/>
        </w:rPr>
        <w:t>Synthèse et recommandations</w:t>
      </w:r>
      <w:r w:rsidR="007A4D82" w:rsidRPr="007A4D82">
        <w:t xml:space="preserve"> de cette expertise, après un développement étayé,  il est conclu que : « Tout paradigme d’un déterminisme exclusivement biologique n’a donc aucune justification ».</w:t>
      </w:r>
      <w:r w:rsidR="007A4D82" w:rsidRPr="007A4D82">
        <w:rPr>
          <w:vertAlign w:val="superscript"/>
        </w:rPr>
        <w:footnoteReference w:id="8"/>
      </w:r>
      <w:r w:rsidR="007A4D82" w:rsidRPr="007A4D82">
        <w:t xml:space="preserve"> Plus encore, l’observation de fréquents troubles autres que des apprentissages chez les mêmes enfants conduit à l’hypothèse de la « pluralité et de l’interrelation des déterminismes»</w:t>
      </w:r>
      <w:r w:rsidR="007A4D82" w:rsidRPr="007A4D82">
        <w:rPr>
          <w:vertAlign w:val="superscript"/>
        </w:rPr>
        <w:footnoteReference w:id="9"/>
      </w:r>
      <w:r w:rsidR="007A4D82" w:rsidRPr="007A4D82">
        <w:t> ! En remontant plus loin dans le temps, au premier rapport auquel le guide 2018 fait référence, en 2000, la référence biologique transparait à peine. A la place, une référence à différentes conceptions étiologiques de la dyslexie, dont celle consistant à penser que la dyslexie serait une mal-lecture sans unité physiopathologique, s’inscrivant dans divers contextes cliniques.</w:t>
      </w:r>
      <w:r w:rsidR="007A4D82" w:rsidRPr="007A4D82">
        <w:rPr>
          <w:vertAlign w:val="superscript"/>
        </w:rPr>
        <w:footnoteReference w:id="10"/>
      </w:r>
      <w:r w:rsidR="007A4D82" w:rsidRPr="007A4D82">
        <w:t xml:space="preserve"> </w:t>
      </w:r>
      <w:r w:rsidR="00713D59">
        <w:t xml:space="preserve">  </w:t>
      </w:r>
    </w:p>
    <w:p w:rsidR="007A4D82" w:rsidRDefault="00307C69" w:rsidP="001F6C85">
      <w:pPr>
        <w:ind w:firstLine="708"/>
        <w:jc w:val="both"/>
      </w:pPr>
      <w:r>
        <w:t>Le guide-parcours de 2018 donne l’impression d’un</w:t>
      </w:r>
      <w:r w:rsidR="007A4D82" w:rsidRPr="007A4D82">
        <w:t xml:space="preserve"> changement où </w:t>
      </w:r>
      <w:r w:rsidR="007A4D82" w:rsidRPr="007A4D82">
        <w:rPr>
          <w:i/>
        </w:rPr>
        <w:t>l’on est passé d’une discussion sur des conceptions possibles à une seule conception sans discussion</w:t>
      </w:r>
      <w:r w:rsidR="007A4D82" w:rsidRPr="007A4D82">
        <w:t xml:space="preserve">. D’ailleurs, l’expertise Inserm </w:t>
      </w:r>
      <w:r w:rsidR="00262484">
        <w:t xml:space="preserve">2007 </w:t>
      </w:r>
      <w:r w:rsidR="007A4D82" w:rsidRPr="007A4D82">
        <w:t>n’est pas ou à peine mentionnée.</w:t>
      </w:r>
      <w:r w:rsidR="00932341">
        <w:rPr>
          <w: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7A4D82" w:rsidRPr="007A4D82">
        <w:t xml:space="preserve">L’idée semble </w:t>
      </w:r>
      <w:r w:rsidR="001F1C56">
        <w:t>être que</w:t>
      </w:r>
      <w:r w:rsidR="007A4D82" w:rsidRPr="007A4D82">
        <w:t xml:space="preserve"> le paradigme nouveau s’impose de lui même.</w:t>
      </w:r>
      <w:r w:rsidR="007A4D82" w:rsidRPr="007A4D82">
        <w:rPr>
          <w:vertAlign w:val="superscript"/>
        </w:rPr>
        <w:footnoteReference w:id="11"/>
      </w:r>
      <w:r w:rsidR="007A4D82" w:rsidRPr="007A4D82">
        <w:t xml:space="preserve"> Il s’agit bien sûr d’analyser les symptômes et de comprendre mais comprendre les processus cognitifs en jeu et pas autre chose pour parvenir à un « cheminement vers un diagnostic ». Ceci grâce à une « démarche psychologique et neuropsychologique, hypothético-déductive et dynamique » ! </w:t>
      </w:r>
      <w:r w:rsidR="007A4D82" w:rsidRPr="007A4D82">
        <w:rPr>
          <w:vertAlign w:val="superscript"/>
        </w:rPr>
        <w:footnoteReference w:id="12"/>
      </w:r>
      <w:r w:rsidR="007A4D82" w:rsidRPr="007A4D82">
        <w:t xml:space="preserve"> Toutes les précautions sont prises pour qu’il n’y ait pas de déviation vers des idées psychopathologiques autres que cognitives et d’abord dans l’effort constant de répétition dans le texte qu’il s’agit de troubles cognitifs, relevant d’une évaluation cognitive initiale, puis pratiquement continue, de traitements rééducatifs visant à développer ou corriger des fonctions ou des dysfonctionnements cognitifs, d’équipes où chaque membre est formée aux TSLA et aux outils d’évaluation des compétences cognitives… Ceci est presque un aveu des rédacteurs concernant la faiblesse scientifique de leur travail, une pensée circulaire : on trouve le trouble spécifique parce qu’on ne pense qu’en termes cognitifs.</w:t>
      </w:r>
      <w:r w:rsidR="00AA396C">
        <w:t xml:space="preserve"> </w:t>
      </w:r>
    </w:p>
    <w:p w:rsidR="00C83EAF" w:rsidRDefault="00C83EAF" w:rsidP="001F6C85">
      <w:pPr>
        <w:ind w:firstLine="708"/>
        <w:jc w:val="both"/>
      </w:pPr>
    </w:p>
    <w:p w:rsidR="00C83EAF" w:rsidRDefault="00C83EAF" w:rsidP="001F6C85">
      <w:pPr>
        <w:ind w:firstLine="708"/>
        <w:jc w:val="both"/>
        <w:rPr>
          <w:rFonts w:ascii="Apple Chancery" w:hAnsi="Apple Chancery" w:cs="Apple Chancery"/>
        </w:rPr>
      </w:pPr>
      <w:r>
        <w:rPr>
          <w:rFonts w:ascii="Apple Chancery" w:hAnsi="Apple Chancery" w:cs="Apple Chancery"/>
        </w:rPr>
        <w:t>L’art du clinicien est d’entendre ce qui n’est pas encore exprimé</w:t>
      </w:r>
    </w:p>
    <w:p w:rsidR="00C83EAF" w:rsidRPr="00C83EAF" w:rsidRDefault="00C83EAF" w:rsidP="001F6C85">
      <w:pPr>
        <w:ind w:firstLine="708"/>
        <w:jc w:val="both"/>
        <w:rPr>
          <w:rFonts w:ascii="Apple Chancery" w:hAnsi="Apple Chancery" w:cs="Apple Chancery"/>
        </w:rPr>
      </w:pPr>
    </w:p>
    <w:p w:rsidR="007A4D82" w:rsidRPr="0060497A" w:rsidRDefault="007A4D82" w:rsidP="001F6C85">
      <w:pPr>
        <w:ind w:firstLine="708"/>
        <w:jc w:val="both"/>
        <w:rPr>
          <w: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A4D82">
        <w:t xml:space="preserve">C’est le deuxième aspect questionnant sur ces TSLA : il faut diagnostiquer positivement le trouble basé sur l’hypothèse d’un déficit neurologique perturbant le fonctionnement dans un des champs de compétence cognitive défini pour l’âge : le langage oral ou écrit ou encore le calcul ou « l’organisation motrice ». Pour cela, on évalue le fonctionnement de ces compétences. Mais le diagnostic comporte l’élimination des diagnostics différentiels d’ordre psychologique ou psychiatrique. </w:t>
      </w:r>
      <w:r w:rsidR="001F1C56">
        <w:t>Le guide propose de ne faire interve</w:t>
      </w:r>
      <w:r w:rsidR="0060497A">
        <w:t xml:space="preserve">nir </w:t>
      </w:r>
      <w:r w:rsidR="001F1C56">
        <w:t>un</w:t>
      </w:r>
      <w:r w:rsidR="0060497A">
        <w:t xml:space="preserve"> psychiatre</w:t>
      </w:r>
      <w:r w:rsidR="00687BB8">
        <w:t xml:space="preserve"> qu’</w:t>
      </w:r>
      <w:r w:rsidR="00932341">
        <w:t xml:space="preserve">en cas de suspicion motivée. </w:t>
      </w:r>
      <w:r w:rsidRPr="007A4D82">
        <w:t xml:space="preserve">C’est là où nous percevons l’exclusion de la clinique, puisque nous savons que dans une consultation, les symptômes et interrelations entre symptômes ne sont pas donnés d’emblée, pas même nécessairement en réponse à des questions précises et l’art du clinicien est de les entendre et de permettre leur expression dans le cadre d’une relation thérapeutique. Cette partie la plus délicate de la clinique est supprimée. </w:t>
      </w:r>
      <w:r w:rsidR="001F6C85" w:rsidRPr="007A4D82">
        <w:rPr>
          <w:i/>
        </w:rPr>
        <w:t>Les re</w:t>
      </w:r>
      <w:r w:rsidR="001F6C85">
        <w:rPr>
          <w:i/>
        </w:rPr>
        <w:t xml:space="preserve">lations entre le langage ou les </w:t>
      </w:r>
      <w:r w:rsidR="001F6C85" w:rsidRPr="007A4D82">
        <w:rPr>
          <w:i/>
        </w:rPr>
        <w:t>apprentissages et le développement global de l’enfant incluant le d</w:t>
      </w:r>
      <w:r w:rsidR="001F6C85">
        <w:rPr>
          <w:i/>
        </w:rPr>
        <w:t>éveloppement psychique telle qu’il est abordé</w:t>
      </w:r>
      <w:r w:rsidR="001F6C85" w:rsidRPr="007A4D82">
        <w:rPr>
          <w:i/>
        </w:rPr>
        <w:t xml:space="preserve"> cliniquement en pédopsychiatrie</w:t>
      </w:r>
      <w:r w:rsidR="001F6C85">
        <w:rPr>
          <w:i/>
        </w:rPr>
        <w:t>,</w:t>
      </w:r>
      <w:r w:rsidR="001F6C85" w:rsidRPr="007A4D82">
        <w:rPr>
          <w:i/>
        </w:rPr>
        <w:t xml:space="preserve"> sont coupées</w:t>
      </w:r>
      <w:r w:rsidR="001F6C85" w:rsidRPr="007A4D82">
        <w:t xml:space="preserve">. </w:t>
      </w:r>
      <w:r w:rsidRPr="007A4D82">
        <w:t>De nombreux symptômes sont considérés comme pouvant être la conséquence des TSLA, tel que le sur- ou sous-investissement du langage, une opposition, un refus d’aller à l ‘école, une agitation, des comportements d’évitement, des manifestations somatiques, un sommeil perturbé…  Mais finalement, le sentiment qui s’en dégage est que cette</w:t>
      </w:r>
      <w:r w:rsidR="00687BB8">
        <w:t xml:space="preserve"> pensée causale-là (assigner de telles</w:t>
      </w:r>
      <w:r w:rsidRPr="007A4D82">
        <w:t xml:space="preserve"> conséquences aux TSLA) servira aussi longtemps qu’on voudra et qu’on l’abandonnera quand on voudra en désignant </w:t>
      </w:r>
      <w:r w:rsidR="00687BB8">
        <w:t xml:space="preserve">plutôt </w:t>
      </w:r>
      <w:r w:rsidRPr="007A4D82">
        <w:t>une comorbidité ou même un changement de diagnostic. En effet, le diagnostic différentiel et des comorbidités sont l’obsession de la démarche diagnostique qui se repose tout au long du parcours, surtout en cas d’échec. Reste à savoir si on abandonnera seulement son idée ou bien aussi l’enfant…</w:t>
      </w:r>
    </w:p>
    <w:p w:rsidR="007A4D82" w:rsidRPr="007A4D82" w:rsidRDefault="007A4D82" w:rsidP="001F6C85">
      <w:pPr>
        <w:jc w:val="both"/>
      </w:pPr>
    </w:p>
    <w:p w:rsidR="007A4D82" w:rsidRPr="007A4D82" w:rsidRDefault="007A4D82" w:rsidP="001F6C85">
      <w:pPr>
        <w:ind w:firstLine="708"/>
        <w:jc w:val="both"/>
      </w:pPr>
      <w:r w:rsidRPr="007A4D82">
        <w:t xml:space="preserve">Un effort langagier considérable est développé pour marquer la volonté ferme et indiscutable d’organiser le parcours comme dispositif lui même issu de la connaissance scientifique : si le guide affirme ne pas être une recommandation des pratiques, il les contient pourtant. Les deux aspects essentiels sont : </w:t>
      </w:r>
    </w:p>
    <w:p w:rsidR="007A4D82" w:rsidRPr="007A4D82" w:rsidRDefault="007A4D82" w:rsidP="001F6C85">
      <w:pPr>
        <w:jc w:val="both"/>
      </w:pPr>
      <w:r w:rsidRPr="007A4D82">
        <w:t>-l’évaluation initiale et ensuite très régulière de l’enfant, le lien entre tous les professionnels basé sur une pratique des évaluations standardisées, leur partage et leur discussion.</w:t>
      </w:r>
      <w:r w:rsidR="00CC1F2F">
        <w:t xml:space="preserve"> </w:t>
      </w:r>
    </w:p>
    <w:p w:rsidR="007A4D82" w:rsidRPr="007A4D82" w:rsidRDefault="007A4D82" w:rsidP="001F6C85">
      <w:pPr>
        <w:jc w:val="both"/>
      </w:pPr>
      <w:r w:rsidRPr="007A4D82">
        <w:t xml:space="preserve">-la hiérarchisation des </w:t>
      </w:r>
      <w:r w:rsidRPr="007A4D82">
        <w:rPr>
          <w:i/>
        </w:rPr>
        <w:t xml:space="preserve">parcours </w:t>
      </w:r>
      <w:r w:rsidRPr="007A4D82">
        <w:t xml:space="preserve">appelés </w:t>
      </w:r>
      <w:r w:rsidRPr="007A4D82">
        <w:rPr>
          <w:i/>
        </w:rPr>
        <w:t xml:space="preserve">niveaux </w:t>
      </w:r>
      <w:r w:rsidRPr="007A4D82">
        <w:t xml:space="preserve">1, 2 et 3, selon la sévérité et/ou la complexité des troubles. </w:t>
      </w:r>
    </w:p>
    <w:p w:rsidR="007A4D82" w:rsidRPr="007A4D82" w:rsidRDefault="007A4D82" w:rsidP="001F6C85">
      <w:pPr>
        <w:jc w:val="both"/>
      </w:pPr>
      <w:r w:rsidRPr="007A4D82">
        <w:t>Le niveau 1 s’organise en amont des équipes spécialisées, autour du médecin de l’enfant (généraliste ou pédiatre) ou dans certains cas un psychologue. Ce qui est proposé au médecin généraliste semble</w:t>
      </w:r>
      <w:r w:rsidR="00C073F2">
        <w:t xml:space="preserve"> surdimensionné, laissant imaginer</w:t>
      </w:r>
      <w:r w:rsidRPr="007A4D82">
        <w:t xml:space="preserve"> que des médecins généralistes se spécialiseraient dans la gestion de dossiers TSLA</w:t>
      </w:r>
      <w:r w:rsidRPr="007A4D82">
        <w:rPr>
          <w:vertAlign w:val="superscript"/>
        </w:rPr>
        <w:footnoteReference w:id="13"/>
      </w:r>
      <w:r w:rsidRPr="007A4D82">
        <w:t>. Les prises en charge de l’enfant sont scolaires (des remédiations cognitives dans les classes) et rééducatives, les orthophonistes et les psychomotriciens étant bien e</w:t>
      </w:r>
      <w:r w:rsidR="005743C1">
        <w:t xml:space="preserve">ntendu orientés </w:t>
      </w:r>
      <w:r w:rsidRPr="007A4D82">
        <w:t xml:space="preserve">dans la rééducation et l’évaluation sur un plan </w:t>
      </w:r>
      <w:r w:rsidRPr="007A4D82">
        <w:rPr>
          <w:i/>
        </w:rPr>
        <w:t>cognitif</w:t>
      </w:r>
      <w:r w:rsidRPr="007A4D82">
        <w:t xml:space="preserve">. </w:t>
      </w:r>
      <w:r w:rsidRPr="007A4D82">
        <w:rPr>
          <w:i/>
        </w:rPr>
        <w:t>L’important c’est le diagnostic et la mesure du trouble</w:t>
      </w:r>
      <w:r w:rsidRPr="007A4D82">
        <w:t xml:space="preserve">. Nous sommes devant </w:t>
      </w:r>
      <w:r w:rsidR="005743C1">
        <w:t>l’idée d’</w:t>
      </w:r>
      <w:r w:rsidRPr="007A4D82">
        <w:t>un traitement rationnel découlant d’un diagno</w:t>
      </w:r>
      <w:r w:rsidR="005743C1">
        <w:t xml:space="preserve">stic symptomatique, </w:t>
      </w:r>
      <w:r w:rsidR="00C073F2">
        <w:t xml:space="preserve">ce qui en soi est </w:t>
      </w:r>
      <w:r w:rsidR="005743C1">
        <w:t>un contre-sens</w:t>
      </w:r>
      <w:r w:rsidRPr="007A4D82">
        <w:t xml:space="preserve">. D’où la nécessité d’affirmer fermement les bases neurologiques déclarées comme prouvées même si elles ne le sont pas. Les liens avec les associations de familles TSLA sont préconisés. </w:t>
      </w:r>
      <w:r w:rsidR="005743C1">
        <w:t xml:space="preserve">   </w:t>
      </w:r>
    </w:p>
    <w:p w:rsidR="007A4D82" w:rsidRPr="007A4D82" w:rsidRDefault="007A4D82" w:rsidP="001F6C85">
      <w:pPr>
        <w:ind w:firstLine="708"/>
        <w:jc w:val="both"/>
      </w:pPr>
      <w:r w:rsidRPr="007A4D82">
        <w:t xml:space="preserve">Le niveau 2 est une équipe pluridisciplinaire sous la responsabilité d’un médecin coordinateur. Cette équipe peut être institutionnellement constituée ou libérale. Elle </w:t>
      </w:r>
      <w:r w:rsidR="00855FD4">
        <w:t xml:space="preserve">est recrutée sur </w:t>
      </w:r>
      <w:r w:rsidRPr="007A4D82">
        <w:t>un cahier des charges précis. Il est intéressant de lire la description des prérequis. Il ne serait pas du tout nécessaire d’être psychiatre et être psychiatre ne suffira pas du tout. Il faudra présenter une compétence en TSLA, un diplôme dans ce domaine, plus une expérience, plus une motivation et une volonté de se conformer au programme</w:t>
      </w:r>
      <w:r w:rsidR="00855FD4">
        <w:t>s</w:t>
      </w:r>
      <w:r w:rsidRPr="007A4D82">
        <w:t xml:space="preserve"> théorique et pratique proposé</w:t>
      </w:r>
      <w:r w:rsidR="00855FD4">
        <w:t>s</w:t>
      </w:r>
      <w:r w:rsidRPr="007A4D82">
        <w:t xml:space="preserve">. Pour exemple, les spécialités pour pouvoir candidater seront : médecin généraliste, pédiatre, neurologue, neuropédiatre, pédopsychiatre, médecin de médecine physique et réadaptation. Ce coordinateur ne semble pas avoir de tâche thérapeutique ! Cette </w:t>
      </w:r>
      <w:r w:rsidR="004922A6">
        <w:t>tâche est déléguée</w:t>
      </w:r>
      <w:r w:rsidRPr="007A4D82">
        <w:t xml:space="preserve"> à un psychologue ou un pédopsychiatre pour s’occuper des troubles associés ou des comorbidités si besoin. Il est impératif d’écrire, de consigner, de faire des bilans répétés. L’impression que cela donne est qu’il y a un appel à la constitution d’équipes TSLA pas du tout nécessairement dans le champ médico-social, ni hospitalier. Mais des accompagnements sont prévus aux équipes qui souhaiteraient se former. </w:t>
      </w:r>
    </w:p>
    <w:p w:rsidR="007A4D82" w:rsidRPr="007A4D82" w:rsidRDefault="007A4D82" w:rsidP="001F6C85">
      <w:pPr>
        <w:jc w:val="both"/>
      </w:pPr>
      <w:r w:rsidRPr="007A4D82">
        <w:t>Le niveau 3 est celui des Centres de référence des troubles du langage et des apprentissages qui ne devront recevoir que les cas « complexes » ou « très complexes».</w:t>
      </w:r>
    </w:p>
    <w:p w:rsidR="007A4D82" w:rsidRPr="007A4D82" w:rsidRDefault="007A4D82" w:rsidP="001F6C85">
      <w:pPr>
        <w:jc w:val="both"/>
      </w:pPr>
    </w:p>
    <w:p w:rsidR="005743C1" w:rsidRDefault="00C83EAF" w:rsidP="00C83EAF">
      <w:pPr>
        <w:ind w:firstLine="708"/>
        <w:jc w:val="both"/>
        <w:rPr>
          <w:rFonts w:ascii="Apple Chancery" w:hAnsi="Apple Chancery" w:cs="Apple Chancery"/>
        </w:rPr>
      </w:pPr>
      <w:r>
        <w:rPr>
          <w:rFonts w:ascii="Apple Chancery" w:hAnsi="Apple Chancery" w:cs="Apple Chancery"/>
        </w:rPr>
        <w:t>Et les CMPP dans tout cela ?</w:t>
      </w:r>
    </w:p>
    <w:p w:rsidR="00C83EAF" w:rsidRPr="00C83EAF" w:rsidRDefault="00C83EAF" w:rsidP="00C83EAF">
      <w:pPr>
        <w:ind w:firstLine="708"/>
        <w:jc w:val="both"/>
        <w:rPr>
          <w:rFonts w:ascii="Apple Chancery" w:hAnsi="Apple Chancery" w:cs="Apple Chancery"/>
        </w:rPr>
      </w:pPr>
    </w:p>
    <w:p w:rsidR="007A4D82" w:rsidRPr="007A4D82" w:rsidRDefault="007A4D82" w:rsidP="001F6C85">
      <w:pPr>
        <w:ind w:firstLine="708"/>
        <w:jc w:val="both"/>
      </w:pPr>
      <w:r w:rsidRPr="007A4D82">
        <w:t>Les CMPP se retrouveront-ils face à l’alternative : devenir des équipes de niveau 2 pratiquant avec dextérité tous les bilans standardisés ou disparaître, s’appauvrir ? La construction de l’objet « TSLA » est trop restrictive, trop d’enfants en réalité ne pourront que sortir de son cadre en cours de route – pourquoi sinon l’insistance sur la répétition du diagnostic tout au long de la prise en charge ? Supprimer l</w:t>
      </w:r>
      <w:r w:rsidR="004922A6">
        <w:t>es CMPP dans leur</w:t>
      </w:r>
      <w:r w:rsidRPr="007A4D82">
        <w:t xml:space="preserve"> fonctionnement actuel bien pratique pour les enfants difficiles à caser et à faire évoluer dans un programme de rééducation</w:t>
      </w:r>
      <w:r w:rsidR="004922A6">
        <w:t xml:space="preserve"> pure</w:t>
      </w:r>
      <w:r w:rsidRPr="007A4D82">
        <w:t xml:space="preserve">, me paraitrait improbable- sauf à provoquer des perturbations familiales et scolaires importantes. </w:t>
      </w:r>
    </w:p>
    <w:p w:rsidR="007A4D82" w:rsidRPr="007A4D82" w:rsidRDefault="007A4D82" w:rsidP="001F6C85">
      <w:pPr>
        <w:ind w:firstLine="708"/>
        <w:jc w:val="both"/>
      </w:pPr>
      <w:r w:rsidRPr="007A4D82">
        <w:t xml:space="preserve">Certains enfants suivant un parcours préconisé ne devraient plus entrer dans les soins proposés par </w:t>
      </w:r>
      <w:r w:rsidR="004922A6">
        <w:t xml:space="preserve">les CMPP, ou bien pourraient </w:t>
      </w:r>
      <w:r w:rsidRPr="007A4D82">
        <w:t xml:space="preserve">en sortir à la faveur d’un diagnostic invalidant celui du CMPP. Mais la plupart de ceux ayant une difficulté de langage oral ou écrit suivent en fait déjà un parcours de rééducation sans consulter un psychologue clinicien ou un psychiatre. Les CMPP et autres structures de soin devraient être sollicitées pour les comorbidités et les diagnostics différentiels. </w:t>
      </w:r>
    </w:p>
    <w:p w:rsidR="007A4D82" w:rsidRPr="007A4D82" w:rsidRDefault="00737E2A" w:rsidP="001F6C85">
      <w:pPr>
        <w:jc w:val="both"/>
      </w:pPr>
      <w:r>
        <w:t xml:space="preserve"> </w:t>
      </w:r>
    </w:p>
    <w:p w:rsidR="007A4D82" w:rsidRPr="007A4D82" w:rsidRDefault="007A4D82" w:rsidP="001F6C85">
      <w:pPr>
        <w:ind w:firstLine="708"/>
        <w:jc w:val="both"/>
      </w:pPr>
      <w:r w:rsidRPr="007A4D82">
        <w:t>Comment les CMPP pourront en même temps se consacrer à leur mission première de soin et particulièrement à la difficulté scolaire sous toutes ses formes, si souvent associée à une dimension psychologique ? Certains leviers thérapeutiques sont abordables grâce à cette dimension psychologique. Exclure explicitement du champ de la réflexion « clinique » souhaitée dans le guide-parcours la dimension psychologique subjective et la pensée psycho-dynamique est un absolu contre sens et en fait une violation de la compétence et de l’expertise des CMPP.</w:t>
      </w:r>
    </w:p>
    <w:p w:rsidR="007A4D82" w:rsidRPr="007A4D82" w:rsidRDefault="007A4D82" w:rsidP="001F6C85">
      <w:pPr>
        <w:ind w:firstLine="708"/>
        <w:jc w:val="both"/>
      </w:pPr>
      <w:r w:rsidRPr="007A4D82">
        <w:t>Cet appareil de parcours en niveaux pour les enfants TSLA destinés à un traitement sans la clinique pour laquelle les structures de soin existantes ont été pensées et conçues, sera-t-il, pourra-t-il être évalué ? En attendant, que fait-on des résultats et services rendus par l’existant, par nos centres de soins pluridisciplinaires dans le domaine de la difficulté scolaire </w:t>
      </w:r>
      <w:r w:rsidR="004922A6">
        <w:t xml:space="preserve">? Des </w:t>
      </w:r>
      <w:r w:rsidRPr="007A4D82">
        <w:t>milliers d’enfants sont traités dans les CMP et CMPP, les cas de mécontentement existent certes, mais si nous étions inefficaces, les familles continueraient-elles à venir avec régularité et de pl</w:t>
      </w:r>
      <w:r w:rsidR="004922A6">
        <w:t>us en plus ? Sont elles</w:t>
      </w:r>
      <w:r w:rsidRPr="007A4D82">
        <w:t xml:space="preserve"> </w:t>
      </w:r>
      <w:r w:rsidR="004922A6">
        <w:t xml:space="preserve">toutes </w:t>
      </w:r>
      <w:r w:rsidRPr="007A4D82">
        <w:t>insatisfaites, en colère, déçues, trompées</w:t>
      </w:r>
      <w:r w:rsidR="004922A6">
        <w:t xml:space="preserve"> </w:t>
      </w:r>
      <w:r w:rsidRPr="007A4D82">
        <w:t>? Que le fonctionnement de c</w:t>
      </w:r>
      <w:r w:rsidR="004922A6">
        <w:t>es lieux de soin ne suive pas le</w:t>
      </w:r>
      <w:r w:rsidRPr="007A4D82">
        <w:t xml:space="preserve"> principe d’une éva</w:t>
      </w:r>
      <w:r w:rsidR="00737E2A">
        <w:t>luation standardisée</w:t>
      </w:r>
      <w:r w:rsidRPr="007A4D82">
        <w:t xml:space="preserve"> n’est pas incompatible avec leur pertinence clinique. L’enfant est un sujet, la scolarité elle-même comporte de nombreux aspects autres que ceux évalués dans les bilans de compétence cognitive. L’activité diagnostique </w:t>
      </w:r>
      <w:r w:rsidR="004922A6">
        <w:t xml:space="preserve">dans beaucoup de CMPP, sinon dans tous, </w:t>
      </w:r>
      <w:r w:rsidR="00737E2A">
        <w:t>est</w:t>
      </w:r>
      <w:r w:rsidR="00737E2A" w:rsidRPr="007A4D82">
        <w:t xml:space="preserve"> </w:t>
      </w:r>
      <w:r w:rsidR="00737E2A">
        <w:t xml:space="preserve">très </w:t>
      </w:r>
      <w:r w:rsidR="00737E2A" w:rsidRPr="007A4D82">
        <w:t>différente</w:t>
      </w:r>
      <w:r w:rsidRPr="007A4D82">
        <w:t xml:space="preserve"> </w:t>
      </w:r>
      <w:r w:rsidR="00737E2A">
        <w:t xml:space="preserve">de celle préconisée </w:t>
      </w:r>
      <w:r w:rsidRPr="007A4D82">
        <w:t xml:space="preserve">dans les </w:t>
      </w:r>
      <w:r w:rsidR="00CB026C">
        <w:t xml:space="preserve">niveaux 2 des </w:t>
      </w:r>
      <w:r w:rsidRPr="007A4D82">
        <w:t>parcours TSLA. Se faire une idée</w:t>
      </w:r>
      <w:r w:rsidR="00CB026C">
        <w:t xml:space="preserve"> du service rendu</w:t>
      </w:r>
      <w:r w:rsidRPr="007A4D82">
        <w:t xml:space="preserve"> implique</w:t>
      </w:r>
      <w:r w:rsidR="00CB026C">
        <w:t>rait</w:t>
      </w:r>
      <w:r w:rsidRPr="007A4D82">
        <w:t xml:space="preserve"> des études longitudinales exigeantes et spécialisées, mais aussi une coupe transversale telle que la parole des familles, des enseignants, des partenaires </w:t>
      </w:r>
      <w:r w:rsidR="00CB026C">
        <w:t xml:space="preserve">qui </w:t>
      </w:r>
      <w:r w:rsidRPr="007A4D82">
        <w:t>pourrai</w:t>
      </w:r>
      <w:r w:rsidR="00CB026C">
        <w:t>en</w:t>
      </w:r>
      <w:r w:rsidRPr="007A4D82">
        <w:t>t en donner une idée</w:t>
      </w:r>
      <w:r w:rsidR="00CB026C">
        <w:t>…</w:t>
      </w:r>
    </w:p>
    <w:p w:rsidR="007A4D82" w:rsidRDefault="007A4D82" w:rsidP="001F6C85">
      <w:pPr>
        <w:ind w:firstLine="708"/>
        <w:jc w:val="both"/>
        <w:rPr>
          <w: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A4D82">
        <w:t xml:space="preserve">La compétence thérapeutique des équipes de CMPP est trop précieuse pour ne pas </w:t>
      </w:r>
      <w:r w:rsidR="00CB026C">
        <w:t>s’</w:t>
      </w:r>
      <w:r w:rsidRPr="007A4D82">
        <w:t xml:space="preserve">interroger </w:t>
      </w:r>
      <w:r w:rsidR="00CB026C">
        <w:t xml:space="preserve">sur </w:t>
      </w:r>
      <w:r w:rsidRPr="007A4D82">
        <w:t>une construction – les parcours TSLA - proposée comme une alternative complète à un champ de leur activité invalidée ainsi. Sans doute, la majorité des enfants concernés se trouve déjà dans des circuits autres, en particulier en rééducation libérale. L’échec, ou les résultats insuffisants des rééducations conduit aux revendications renforcées des associations de parents et aux surenchères de ceux pour qui le « trouble neuro-développemental » doit centrer toute la problématique. La HAS, organise une démocratie des savoirs qui accouche de bien curieux résultats. Comme</w:t>
      </w:r>
      <w:r w:rsidR="00CB026C">
        <w:t xml:space="preserve">nt préserver les CMPP et </w:t>
      </w:r>
      <w:r w:rsidRPr="007A4D82">
        <w:t>mettre en relief leur apport, protéger et ne pas dénaturer leur travail</w:t>
      </w:r>
      <w:r w:rsidR="00CB026C">
        <w:t>, ni instrumentaliser leurs</w:t>
      </w:r>
      <w:r w:rsidRPr="007A4D82">
        <w:t xml:space="preserve"> usagers ? Il est nécessaire d’inventer des formes nouvelles de visibil</w:t>
      </w:r>
      <w:r w:rsidR="00CB026C">
        <w:t>ité à la cause des enfants et</w:t>
      </w:r>
      <w:r w:rsidRPr="007A4D82">
        <w:t xml:space="preserve"> leur devenir sujet dans un monde où soutenir une subjectivité propre est de plus en plus compliqué et jalonné d’obstacles. Il est fondamental d’associer les énergies de tous</w:t>
      </w:r>
      <w:r w:rsidR="00BC4A75">
        <w:t xml:space="preserve"> ceux qui ne souhaitent pas </w:t>
      </w:r>
      <w:r w:rsidRPr="007A4D82">
        <w:t xml:space="preserve">voir </w:t>
      </w:r>
      <w:r w:rsidR="00BC4A75">
        <w:t xml:space="preserve">les enfants </w:t>
      </w:r>
      <w:r w:rsidRPr="007A4D82">
        <w:t>exposés à devenir des porteurs de trouble dans une logique de déficit et de réparation qui coupe le lien entre la construction de la vie psychique et tous les aspects de la vie d’un enfant, y compris le meilleur parti qu’il peut tirer de ses capacités.</w:t>
      </w:r>
    </w:p>
    <w:p w:rsidR="00C83EAF" w:rsidRDefault="00C83EAF" w:rsidP="001F6C85">
      <w:pPr>
        <w:ind w:firstLine="708"/>
        <w:jc w:val="both"/>
        <w:rPr>
          <w: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E609F" w:rsidRDefault="00CE609F" w:rsidP="001F6C85">
      <w:pPr>
        <w:jc w:val="both"/>
      </w:pPr>
    </w:p>
    <w:p w:rsidR="00C83EAF" w:rsidRDefault="00C83EAF" w:rsidP="001F6C85">
      <w:pPr>
        <w:ind w:firstLine="708"/>
        <w:jc w:val="both"/>
        <w:rPr>
          <w:rFonts w:ascii="Apple Chancery" w:hAnsi="Apple Chancery" w:cs="Apple Chancery"/>
        </w:rPr>
      </w:pPr>
      <w:r>
        <w:rPr>
          <w:rFonts w:ascii="Apple Chancery" w:hAnsi="Apple Chancery" w:cs="Apple Chancery"/>
        </w:rPr>
        <w:t>Le TDA/H avec une pincée de prudence</w:t>
      </w:r>
    </w:p>
    <w:p w:rsidR="00C83EAF" w:rsidRDefault="00C83EAF" w:rsidP="001F6C85">
      <w:pPr>
        <w:ind w:firstLine="708"/>
        <w:jc w:val="both"/>
        <w:rPr>
          <w:rFonts w:ascii="Apple Chancery" w:hAnsi="Apple Chancery" w:cs="Apple Chancery"/>
        </w:rPr>
      </w:pPr>
    </w:p>
    <w:p w:rsidR="007A4D82" w:rsidRDefault="00C83EAF" w:rsidP="001F6C85">
      <w:pPr>
        <w:ind w:firstLine="708"/>
        <w:jc w:val="both"/>
      </w:pPr>
      <w:r>
        <w:t>Le TDA/H</w:t>
      </w:r>
      <w:r w:rsidR="00DF7C6B">
        <w:t xml:space="preserve"> a une histoire différente. La plaquette destinée aux médecins de « prem</w:t>
      </w:r>
      <w:r w:rsidR="00BC4A75">
        <w:t>ière ligne »</w:t>
      </w:r>
      <w:r w:rsidR="003D21B0">
        <w:t>,</w:t>
      </w:r>
      <w:r w:rsidR="00BC4A75">
        <w:t xml:space="preserve"> éditée par la HAS en 2015 </w:t>
      </w:r>
      <w:r w:rsidR="00DF7C6B">
        <w:t>porte ici la marque d’une rése</w:t>
      </w:r>
      <w:r w:rsidR="00D973DC">
        <w:t>rve prudente</w:t>
      </w:r>
      <w:r w:rsidR="00DF7C6B">
        <w:t xml:space="preserve">. Ce petit opuscule qui présente les symptômes en </w:t>
      </w:r>
      <w:r w:rsidR="005A2A01">
        <w:t>triade : hyperactivité, déficit</w:t>
      </w:r>
      <w:r w:rsidR="00DF7C6B">
        <w:t xml:space="preserve"> de l’attention, impulsivité</w:t>
      </w:r>
      <w:r w:rsidR="00737E2A">
        <w:t>, insiste sur le fait que ce trouble est le plus souvent transitoire. C</w:t>
      </w:r>
      <w:r w:rsidR="005A2A01">
        <w:t>’e</w:t>
      </w:r>
      <w:r w:rsidR="00737E2A">
        <w:t xml:space="preserve">st seulement lorsqu’il </w:t>
      </w:r>
      <w:r w:rsidR="005A2A01">
        <w:t xml:space="preserve">perdure et devient handicapant pour l’enfant qu’un diagnostic peut se poser. </w:t>
      </w:r>
      <w:r w:rsidR="00737E2A">
        <w:t>Il y a comme une crainte de trop diagnostiquer</w:t>
      </w:r>
      <w:r w:rsidR="00A83856">
        <w:t xml:space="preserve"> le TDA/H</w:t>
      </w:r>
      <w:r w:rsidR="00737E2A">
        <w:t xml:space="preserve">. </w:t>
      </w:r>
      <w:r w:rsidR="005A2A01">
        <w:t>Le diagnostic</w:t>
      </w:r>
      <w:r w:rsidR="00B81192">
        <w:t>,</w:t>
      </w:r>
      <w:r w:rsidR="005A2A01">
        <w:t xml:space="preserve"> </w:t>
      </w:r>
      <w:r w:rsidR="00B81192">
        <w:t xml:space="preserve">là non plus, </w:t>
      </w:r>
      <w:r w:rsidR="005A2A01">
        <w:t>n’est pas psychia</w:t>
      </w:r>
      <w:r w:rsidR="00B81192">
        <w:t>trique spécifiquement. L</w:t>
      </w:r>
      <w:r w:rsidR="005A2A01">
        <w:t>a HAS recommande aussi les pédiatres, neuropédiatres et neurologues pour l</w:t>
      </w:r>
      <w:r>
        <w:t xml:space="preserve">e faire. </w:t>
      </w:r>
      <w:r w:rsidR="00B81192">
        <w:t>Pour ce qui concerne le</w:t>
      </w:r>
      <w:r w:rsidR="005A2A01">
        <w:t xml:space="preserve"> traitement</w:t>
      </w:r>
      <w:r w:rsidR="00D40F4B">
        <w:t xml:space="preserve">, les mesures psychologiques, </w:t>
      </w:r>
      <w:r w:rsidR="005A2A01">
        <w:t xml:space="preserve">éducatives </w:t>
      </w:r>
      <w:r w:rsidR="00D40F4B">
        <w:t xml:space="preserve">et sociales </w:t>
      </w:r>
      <w:r w:rsidR="005A2A01">
        <w:t>viennent en premier lieu, mais elles sont suivi</w:t>
      </w:r>
      <w:r w:rsidR="00B81192">
        <w:t>es immédiatement de la mention :</w:t>
      </w:r>
      <w:r w:rsidR="00D40F4B">
        <w:t xml:space="preserve"> « si elles sont insuffisantes, un traitement médicamenteux peut être mis en place ». L’étiologie n’est pas mentionnée. </w:t>
      </w:r>
    </w:p>
    <w:p w:rsidR="007A4D82" w:rsidRDefault="00B81192" w:rsidP="001F6C85">
      <w:pPr>
        <w:ind w:firstLine="708"/>
        <w:jc w:val="both"/>
      </w:pPr>
      <w:r>
        <w:t>Ici, une dimension de l’incertain, de l’altérité, de l’idée de s’en remettre à un</w:t>
      </w:r>
      <w:r w:rsidR="003D21B0">
        <w:t xml:space="preserve">e appréciation clinique davantage peut-être qu’à des bilans standardisés </w:t>
      </w:r>
      <w:r>
        <w:t xml:space="preserve">transparait malgré tout. </w:t>
      </w:r>
      <w:r w:rsidR="000876EF">
        <w:t xml:space="preserve">On n’a pas l’impression, comme dans les parcours TSLA, </w:t>
      </w:r>
      <w:r w:rsidR="003D21B0">
        <w:t xml:space="preserve">qu’il faudrait pratiquer un diagnostic </w:t>
      </w:r>
      <w:r w:rsidR="000876EF">
        <w:t xml:space="preserve">cognitif </w:t>
      </w:r>
      <w:r w:rsidR="003D21B0">
        <w:t>pur et non contaminé par une clinique psycho</w:t>
      </w:r>
      <w:r w:rsidR="000876EF">
        <w:t>-</w:t>
      </w:r>
      <w:r w:rsidR="003D21B0">
        <w:t xml:space="preserve">dynamique </w:t>
      </w:r>
      <w:r w:rsidR="006375C3">
        <w:t>invit</w:t>
      </w:r>
      <w:r w:rsidR="00363B4D">
        <w:t>ée à s’approcher de l’enfant seulement</w:t>
      </w:r>
      <w:r w:rsidR="006375C3">
        <w:t xml:space="preserve"> sur autorisation particulière.</w:t>
      </w:r>
    </w:p>
    <w:p w:rsidR="00D40F4B" w:rsidRDefault="00D40F4B" w:rsidP="001F6C85">
      <w:pPr>
        <w:ind w:firstLine="708"/>
        <w:jc w:val="both"/>
      </w:pPr>
      <w:r>
        <w:t xml:space="preserve">J’attribue cette différence nullement à une question d’ordre scientifique, mais à un état du discours social en France, </w:t>
      </w:r>
      <w:r w:rsidR="001A5ECC">
        <w:t>relativement résistant au TDA</w:t>
      </w:r>
      <w:r w:rsidR="00B81192">
        <w:t>/</w:t>
      </w:r>
      <w:r w:rsidR="001A5ECC">
        <w:t xml:space="preserve">H comme trouble autonome conduisant </w:t>
      </w:r>
      <w:r w:rsidR="00B81192">
        <w:t xml:space="preserve">notamment </w:t>
      </w:r>
      <w:r w:rsidR="001A5ECC">
        <w:t xml:space="preserve">à un traitement médicamenteux. Un sociologue et criminologue de l’Université d’Auckland, Manuel Vallée, a même consacré un article dans </w:t>
      </w:r>
      <w:r w:rsidR="001A5ECC" w:rsidRPr="00B81192">
        <w:rPr>
          <w:i/>
        </w:rPr>
        <w:t>Social Science and Medecine</w:t>
      </w:r>
      <w:r w:rsidR="001A5ECC">
        <w:t>, en 2018, aux forces de résistance derrière le taux bas de prescription de psychostimulants chez nous, qu’il situe à 0,2 % des enfants</w:t>
      </w:r>
      <w:r w:rsidR="0062698F">
        <w:t xml:space="preserve"> en 2017</w:t>
      </w:r>
      <w:r w:rsidR="00B81192">
        <w:t xml:space="preserve"> en France</w:t>
      </w:r>
      <w:r w:rsidR="0062698F">
        <w:t>, contre 7</w:t>
      </w:r>
      <w:r w:rsidR="001A5ECC">
        <w:t>% aux Etats Unis</w:t>
      </w:r>
      <w:r w:rsidR="0062698F">
        <w:t xml:space="preserve"> la même année</w:t>
      </w:r>
      <w:r w:rsidR="001A5ECC">
        <w:t xml:space="preserve">. </w:t>
      </w:r>
      <w:r w:rsidR="0062698F">
        <w:t xml:space="preserve">Pour cet auteur et d’après ses informateurs, l’Etat, les experts et les consommateurs ont fait front en France contre les intérêts pharmaceutiques, la question explicite de ce chercheur étant </w:t>
      </w:r>
      <w:r w:rsidR="00B81192">
        <w:t xml:space="preserve">par ailleurs de savoir </w:t>
      </w:r>
      <w:r w:rsidR="0062698F">
        <w:t>comment limiter le pouvoir de cette industrie</w:t>
      </w:r>
      <w:r w:rsidR="00B81192">
        <w:rPr>
          <w:rStyle w:val="Marquenotebasdepage"/>
        </w:rPr>
        <w:footnoteReference w:id="14"/>
      </w:r>
      <w:r w:rsidR="0062698F">
        <w:t xml:space="preserve">. </w:t>
      </w:r>
    </w:p>
    <w:p w:rsidR="007A4D82" w:rsidRDefault="006B64C6" w:rsidP="001F6C85">
      <w:pPr>
        <w:ind w:firstLine="708"/>
        <w:jc w:val="both"/>
      </w:pPr>
      <w:r>
        <w:t>L</w:t>
      </w:r>
      <w:r w:rsidR="00F763AC">
        <w:t>e site de TDAH-France, association de familles d’enfants</w:t>
      </w:r>
      <w:r>
        <w:t xml:space="preserve"> TDA</w:t>
      </w:r>
      <w:r w:rsidR="00363B4D">
        <w:t>/</w:t>
      </w:r>
      <w:r>
        <w:t>H est relativement prudent. On indique</w:t>
      </w:r>
      <w:r w:rsidR="00F763AC">
        <w:t xml:space="preserve"> que pour l’heure l’étiologie neur</w:t>
      </w:r>
      <w:r>
        <w:t>ologique n’est pas confirmée. L</w:t>
      </w:r>
      <w:r w:rsidR="00F763AC">
        <w:t xml:space="preserve">a conviction d’une participation génétique est affirmée sur la base de l’éternel argument des </w:t>
      </w:r>
      <w:r w:rsidR="00C83EAF">
        <w:t>« </w:t>
      </w:r>
      <w:r w:rsidR="00F763AC">
        <w:t>twin-studies</w:t>
      </w:r>
      <w:r w:rsidR="00C83EAF">
        <w:t> »</w:t>
      </w:r>
      <w:r w:rsidR="00F763AC">
        <w:t xml:space="preserve">, des </w:t>
      </w:r>
      <w:r>
        <w:t>études de jumeaux. L</w:t>
      </w:r>
      <w:r w:rsidR="00F763AC">
        <w:t>’importance des prises en charge psychologiques</w:t>
      </w:r>
      <w:r>
        <w:t xml:space="preserve"> est soulignée</w:t>
      </w:r>
      <w:r w:rsidR="00F763AC">
        <w:t>. Les psychostimulants cependant suive</w:t>
      </w:r>
      <w:r w:rsidR="00363B4D">
        <w:t>nt immédiatement, « si besoin », identiquement à la HAS.</w:t>
      </w:r>
    </w:p>
    <w:p w:rsidR="0033343B" w:rsidRDefault="0033343B" w:rsidP="001F6C85">
      <w:pPr>
        <w:ind w:firstLine="708"/>
        <w:jc w:val="both"/>
      </w:pPr>
    </w:p>
    <w:p w:rsidR="0033343B" w:rsidRDefault="0033343B" w:rsidP="001F6C85">
      <w:pPr>
        <w:ind w:firstLine="708"/>
        <w:jc w:val="both"/>
        <w:rPr>
          <w:rFonts w:ascii="Apple Chancery" w:hAnsi="Apple Chancery" w:cs="Apple Chancery"/>
        </w:rPr>
      </w:pPr>
      <w:r>
        <w:rPr>
          <w:rFonts w:ascii="Apple Chancery" w:hAnsi="Apple Chancery" w:cs="Apple Chancery"/>
        </w:rPr>
        <w:t>L’instabilité et l’hyperactivité</w:t>
      </w:r>
    </w:p>
    <w:p w:rsidR="0033343B" w:rsidRPr="0033343B" w:rsidRDefault="0033343B" w:rsidP="001F6C85">
      <w:pPr>
        <w:ind w:firstLine="708"/>
        <w:jc w:val="both"/>
        <w:rPr>
          <w:rFonts w:ascii="Apple Chancery" w:hAnsi="Apple Chancery" w:cs="Apple Chancery"/>
        </w:rPr>
      </w:pPr>
    </w:p>
    <w:p w:rsidR="001065A2" w:rsidRDefault="00F763AC" w:rsidP="001F6C85">
      <w:pPr>
        <w:ind w:firstLine="708"/>
        <w:jc w:val="both"/>
      </w:pPr>
      <w:r>
        <w:t xml:space="preserve">Le sujet </w:t>
      </w:r>
      <w:r w:rsidR="006B64C6">
        <w:t xml:space="preserve">TDA/H </w:t>
      </w:r>
      <w:r>
        <w:t>est traité dans la littérature en France depuis de lo</w:t>
      </w:r>
      <w:r w:rsidR="00363B4D">
        <w:t>ngues années, avec l’idée que deux conceptions s’opposent.</w:t>
      </w:r>
    </w:p>
    <w:p w:rsidR="00A613B4" w:rsidRDefault="001065A2" w:rsidP="001F6C85">
      <w:pPr>
        <w:ind w:firstLine="708"/>
        <w:jc w:val="both"/>
      </w:pPr>
      <w:r>
        <w:t>L</w:t>
      </w:r>
      <w:r w:rsidR="00F763AC">
        <w:t>a conception fra</w:t>
      </w:r>
      <w:r>
        <w:t>nçaise</w:t>
      </w:r>
      <w:r w:rsidR="006B64C6">
        <w:t>,</w:t>
      </w:r>
      <w:r w:rsidR="00363B4D">
        <w:t xml:space="preserve"> issue de descriptions</w:t>
      </w:r>
      <w:r>
        <w:t xml:space="preserve"> aboutissant progressivement depuis le 19</w:t>
      </w:r>
      <w:r w:rsidRPr="001065A2">
        <w:rPr>
          <w:vertAlign w:val="superscript"/>
        </w:rPr>
        <w:t>ème</w:t>
      </w:r>
      <w:r>
        <w:t xml:space="preserve"> siècle à l’instabilité psychomotrice</w:t>
      </w:r>
      <w:r w:rsidR="006B64C6">
        <w:t>,</w:t>
      </w:r>
      <w:r>
        <w:t xml:space="preserve"> identifiée sous cette appellation </w:t>
      </w:r>
      <w:r w:rsidR="00C35F7B">
        <w:t>et intégré</w:t>
      </w:r>
      <w:r w:rsidR="006B64C6">
        <w:t>e</w:t>
      </w:r>
      <w:r w:rsidR="00C35F7B">
        <w:t xml:space="preserve"> au répertoire clinique des pédopsychiatres sous ce nom dès l’</w:t>
      </w:r>
      <w:r>
        <w:t>après guerre</w:t>
      </w:r>
      <w:r w:rsidR="001F63B5">
        <w:t>. U</w:t>
      </w:r>
      <w:r w:rsidR="00C35F7B">
        <w:t>n renforcement organique de la motricité chez certains garçons es</w:t>
      </w:r>
      <w:r w:rsidR="006B64C6">
        <w:t xml:space="preserve">t reconnu comme participant à leur </w:t>
      </w:r>
      <w:r w:rsidR="00C35F7B">
        <w:t>hyper</w:t>
      </w:r>
      <w:r w:rsidR="006B64C6">
        <w:t>activité pa</w:t>
      </w:r>
      <w:r w:rsidR="001F63B5">
        <w:t>r</w:t>
      </w:r>
      <w:r w:rsidR="00C35F7B">
        <w:t xml:space="preserve"> un auteur classique comme Ajuriaguerra</w:t>
      </w:r>
      <w:r w:rsidR="001F63B5">
        <w:t>,</w:t>
      </w:r>
      <w:r w:rsidR="00C35F7B">
        <w:t xml:space="preserve"> dans son </w:t>
      </w:r>
      <w:r w:rsidR="00C35F7B" w:rsidRPr="00C35F7B">
        <w:rPr>
          <w:i/>
        </w:rPr>
        <w:t>Manuel de psychiatrie de l’enfant</w:t>
      </w:r>
      <w:r w:rsidR="00C35F7B">
        <w:t xml:space="preserve"> paru en 1973, c</w:t>
      </w:r>
      <w:r w:rsidR="001F63B5">
        <w:t>omme nous le rappelle P. Delion</w:t>
      </w:r>
      <w:r w:rsidR="0033343B">
        <w:t xml:space="preserve"> </w:t>
      </w:r>
      <w:r w:rsidR="006B64C6">
        <w:t>dans un intéressant article reprenant l’histoire de l’instabilité psycho-m</w:t>
      </w:r>
      <w:r w:rsidR="0033343B">
        <w:t>otrice dans son rapport au TDA/H.</w:t>
      </w:r>
      <w:r w:rsidR="006B64C6">
        <w:rPr>
          <w:rStyle w:val="Marquenotebasdepage"/>
        </w:rPr>
        <w:footnoteReference w:id="15"/>
      </w:r>
      <w:r w:rsidR="0033343B">
        <w:t xml:space="preserve"> </w:t>
      </w:r>
      <w:r w:rsidR="001F63B5">
        <w:t>Mais</w:t>
      </w:r>
      <w:r w:rsidR="00C35F7B">
        <w:t xml:space="preserve"> ce « mode d’être moteur » de l’enfant ne devient patho</w:t>
      </w:r>
      <w:r w:rsidR="001F63B5">
        <w:t>logique que s’il persiste au delà</w:t>
      </w:r>
      <w:r w:rsidR="00C35F7B">
        <w:t xml:space="preserve"> d’une certaine période </w:t>
      </w:r>
      <w:r w:rsidR="001F63B5">
        <w:t xml:space="preserve">de </w:t>
      </w:r>
      <w:r w:rsidR="00C35F7B">
        <w:t xml:space="preserve">la vie. </w:t>
      </w:r>
      <w:r>
        <w:t xml:space="preserve"> </w:t>
      </w:r>
      <w:r w:rsidR="00C35F7B">
        <w:t xml:space="preserve">Nous voyons poindre la question de la tolérance de l’environnement à l’enfant qui bouge. </w:t>
      </w:r>
      <w:r w:rsidR="00A613B4">
        <w:t xml:space="preserve">Par ailleurs, l’hyperactivité d’un </w:t>
      </w:r>
      <w:r w:rsidR="001F63B5">
        <w:t xml:space="preserve">enfant </w:t>
      </w:r>
      <w:r w:rsidR="00C35F7B">
        <w:t>dont les attitudes son</w:t>
      </w:r>
      <w:r w:rsidR="001F63B5">
        <w:t>t</w:t>
      </w:r>
      <w:r w:rsidR="00C35F7B">
        <w:t xml:space="preserve"> plus </w:t>
      </w:r>
      <w:r w:rsidR="001F63B5">
        <w:t xml:space="preserve">structurées et </w:t>
      </w:r>
      <w:r w:rsidR="00C35F7B">
        <w:t>organisées</w:t>
      </w:r>
      <w:r w:rsidR="00A613B4">
        <w:t xml:space="preserve"> est</w:t>
      </w:r>
      <w:r w:rsidR="001F63B5">
        <w:t xml:space="preserve"> à mettre « en relation avec les situations du milieu dans lesquelles les enfants vivent et développent leur personnalité. »</w:t>
      </w:r>
      <w:r w:rsidR="007D408F">
        <w:rPr>
          <w:rStyle w:val="Marquenotebasdepage"/>
        </w:rPr>
        <w:footnoteReference w:id="16"/>
      </w:r>
      <w:r w:rsidR="001F63B5">
        <w:t xml:space="preserve"> </w:t>
      </w:r>
    </w:p>
    <w:p w:rsidR="00F763AC" w:rsidRDefault="001F63B5" w:rsidP="001F6C85">
      <w:pPr>
        <w:ind w:firstLine="708"/>
        <w:jc w:val="both"/>
      </w:pPr>
      <w:r>
        <w:t xml:space="preserve">De nombreux psychanalystes ont consacré des </w:t>
      </w:r>
      <w:r w:rsidR="00105684">
        <w:t>études aux enfants hyperactifs, soulignant souvent le rôle de la surveillance maternelle de garçons en quête identificatoire et dont le père intervient peu ou n’interfère pas dans l’éducation.</w:t>
      </w:r>
      <w:r w:rsidR="00105684">
        <w:rPr>
          <w:rStyle w:val="Marquenotebasdepage"/>
        </w:rPr>
        <w:footnoteReference w:id="17"/>
      </w:r>
      <w:r w:rsidR="00105684">
        <w:t xml:space="preserve"> La représentation corporelle de l’enfant, articulée à une problématique de dépendance à la mère est également invoquée dans un registre à la fois psychogénétique et développemental en faisant de l’instabilité une pathologie du lien</w:t>
      </w:r>
      <w:r w:rsidR="00FD4A62">
        <w:rPr>
          <w:rStyle w:val="Marquenotebasdepage"/>
        </w:rPr>
        <w:footnoteReference w:id="18"/>
      </w:r>
      <w:r w:rsidR="00105684">
        <w:t xml:space="preserve">. La place de la rééducation psychomotrice est souvent indiquée et </w:t>
      </w:r>
      <w:r w:rsidR="00FD4A62">
        <w:t xml:space="preserve">largement étudiée et travaillée </w:t>
      </w:r>
      <w:r w:rsidR="00105684">
        <w:t xml:space="preserve">dans le champ de cette </w:t>
      </w:r>
      <w:r w:rsidR="00FD4A62">
        <w:t>discipline.</w:t>
      </w:r>
      <w:r w:rsidR="00FD4A62">
        <w:rPr>
          <w:rStyle w:val="Marquenotebasdepage"/>
        </w:rPr>
        <w:footnoteReference w:id="19"/>
      </w:r>
      <w:r w:rsidR="00FD4A62">
        <w:t xml:space="preserve"> Dans cette instabilité à la française</w:t>
      </w:r>
      <w:r w:rsidR="00A613B4">
        <w:t>,</w:t>
      </w:r>
      <w:r w:rsidR="00FD4A62">
        <w:t xml:space="preserve"> la place de la prescription </w:t>
      </w:r>
      <w:r w:rsidR="007D408F">
        <w:t xml:space="preserve">médicamenteuse </w:t>
      </w:r>
      <w:r w:rsidR="00FD4A62">
        <w:t>n’est pas nulle mais elle vient en dernier recours.</w:t>
      </w:r>
    </w:p>
    <w:p w:rsidR="00A613B4" w:rsidRDefault="00A613B4" w:rsidP="001F6C85">
      <w:pPr>
        <w:jc w:val="both"/>
      </w:pPr>
    </w:p>
    <w:p w:rsidR="007A4D82" w:rsidRDefault="007D408F" w:rsidP="001F6C85">
      <w:pPr>
        <w:ind w:firstLine="708"/>
        <w:jc w:val="both"/>
      </w:pPr>
      <w:r>
        <w:t xml:space="preserve">L’autre conception est d’origine américaine : le symptôme s’appelle </w:t>
      </w:r>
      <w:r w:rsidR="00A309F2">
        <w:t>hyperkinésie</w:t>
      </w:r>
      <w:r w:rsidR="00A613B4">
        <w:t xml:space="preserve">, souvent </w:t>
      </w:r>
      <w:r w:rsidR="00A309F2">
        <w:t xml:space="preserve">associée </w:t>
      </w:r>
      <w:r>
        <w:t>à</w:t>
      </w:r>
      <w:r w:rsidR="00A613B4">
        <w:t xml:space="preserve"> des troubles de l’attention. U</w:t>
      </w:r>
      <w:r w:rsidR="00A309F2">
        <w:t xml:space="preserve">ne origine </w:t>
      </w:r>
      <w:r w:rsidR="00FD4A62">
        <w:t>neurologique</w:t>
      </w:r>
      <w:r w:rsidR="00A309F2">
        <w:t xml:space="preserve"> </w:t>
      </w:r>
      <w:r>
        <w:t xml:space="preserve">est </w:t>
      </w:r>
      <w:r w:rsidR="00A309F2">
        <w:t>postulée sur la base d’un</w:t>
      </w:r>
      <w:r>
        <w:t>e</w:t>
      </w:r>
      <w:r w:rsidR="00A309F2">
        <w:t xml:space="preserve"> ressemblance de ces symptômes avec des séquelles comportementales de l’épidémie d’encéphalite de Von Economo en 1917. Cette relative similitude a conduit,</w:t>
      </w:r>
      <w:r>
        <w:t xml:space="preserve"> comme nous le rappellent Marcelli et Cohen</w:t>
      </w:r>
      <w:r w:rsidR="00A309F2">
        <w:t>, à poser « logiquement » l’hypothèse d’une altération ne</w:t>
      </w:r>
      <w:r>
        <w:t>urologique chez ses enfants. L’altération</w:t>
      </w:r>
      <w:r w:rsidR="00A309F2">
        <w:t xml:space="preserve"> s’est nommé Minimal Brain Injury </w:t>
      </w:r>
      <w:r>
        <w:t xml:space="preserve">pendant des décennies, puis </w:t>
      </w:r>
      <w:r w:rsidR="00A309F2">
        <w:t>s’est déplacé sur l’hypothèse d’un déficit neuro</w:t>
      </w:r>
      <w:r w:rsidR="009034FA">
        <w:t>-</w:t>
      </w:r>
      <w:r w:rsidR="00A309F2">
        <w:t>cérébral aux effets cognitifs plus subtils, jusq</w:t>
      </w:r>
      <w:r w:rsidR="009034FA">
        <w:t>u’à l’abandon de l’</w:t>
      </w:r>
      <w:r w:rsidR="00A309F2">
        <w:t>affirmation</w:t>
      </w:r>
      <w:r>
        <w:t xml:space="preserve"> de son existence organique</w:t>
      </w:r>
      <w:r w:rsidR="00A309F2">
        <w:t xml:space="preserve"> à la fin du 20</w:t>
      </w:r>
      <w:r w:rsidR="00A309F2" w:rsidRPr="00A309F2">
        <w:rPr>
          <w:vertAlign w:val="superscript"/>
        </w:rPr>
        <w:t>ème</w:t>
      </w:r>
      <w:r w:rsidR="00A309F2">
        <w:t xml:space="preserve"> siècle, faute de t</w:t>
      </w:r>
      <w:r w:rsidR="009034FA">
        <w:t>oute démonstration</w:t>
      </w:r>
      <w:r w:rsidR="009A3196">
        <w:t xml:space="preserve"> de sa réalité</w:t>
      </w:r>
      <w:r w:rsidR="009034FA">
        <w:t>.</w:t>
      </w:r>
      <w:r w:rsidR="00727FE6">
        <w:rPr>
          <w:rStyle w:val="Marquenotebasdepage"/>
        </w:rPr>
        <w:footnoteReference w:id="20"/>
      </w:r>
    </w:p>
    <w:p w:rsidR="007D408F" w:rsidRDefault="007D408F" w:rsidP="001F6C85">
      <w:pPr>
        <w:widowControl w:val="0"/>
        <w:autoSpaceDE w:val="0"/>
        <w:autoSpaceDN w:val="0"/>
        <w:adjustRightInd w:val="0"/>
        <w:spacing w:after="240" w:line="300" w:lineRule="atLeast"/>
        <w:ind w:firstLine="708"/>
        <w:jc w:val="both"/>
        <w:rPr>
          <w:rFonts w:cs="Verdana Bold Italic"/>
          <w:color w:val="000000"/>
        </w:rPr>
      </w:pPr>
    </w:p>
    <w:p w:rsidR="00CA002D" w:rsidRDefault="009A3196" w:rsidP="001F6C85">
      <w:pPr>
        <w:widowControl w:val="0"/>
        <w:autoSpaceDE w:val="0"/>
        <w:autoSpaceDN w:val="0"/>
        <w:adjustRightInd w:val="0"/>
        <w:spacing w:after="240" w:line="300" w:lineRule="atLeast"/>
        <w:ind w:firstLine="708"/>
        <w:jc w:val="both"/>
        <w:rPr>
          <w:rFonts w:cs="Verdana Bold Italic"/>
          <w:color w:val="000000"/>
        </w:rPr>
      </w:pPr>
      <w:r>
        <w:rPr>
          <w:rFonts w:cs="Verdana Bold Italic"/>
          <w:color w:val="000000"/>
        </w:rPr>
        <w:t>Voici comment P. Delion définissait la position du débat en 2003</w:t>
      </w:r>
      <w:r w:rsidR="007D408F">
        <w:rPr>
          <w:rFonts w:cs="Verdana Bold Italic"/>
          <w:color w:val="000000"/>
        </w:rPr>
        <w:t xml:space="preserve"> dans l’article déjà cité</w:t>
      </w:r>
      <w:r>
        <w:rPr>
          <w:rFonts w:cs="Verdana Bold Italic"/>
          <w:color w:val="000000"/>
        </w:rPr>
        <w:t> : « </w:t>
      </w:r>
      <w:r w:rsidRPr="009A3196">
        <w:rPr>
          <w:rFonts w:cs="Verdana Bold Italic"/>
          <w:color w:val="000000"/>
        </w:rPr>
        <w:t>L'hyperactivité est devenue, au fil des dernières années, emblématique de l'opposition entre deux conceptions de la psychopathologie de l'enfant et, peut-être, de la psychopathologie en général, à savoir une conception de type linéaire et plutôt neurodéveloppementale d'une part, une conception psychodynamique et polyfactorielle d'autre part. Abondamment relayée par les différents médias, la polémique s'est progressivement enflammée et il importe, à vrai dire, de ne pas négliger les enjeux de ces débats parfois excessifs, mais toujours importants.</w:t>
      </w:r>
      <w:r>
        <w:rPr>
          <w:rFonts w:cs="Verdana Bold Italic"/>
          <w:color w:val="000000"/>
        </w:rPr>
        <w:t> »</w:t>
      </w:r>
      <w:r>
        <w:rPr>
          <w:rStyle w:val="Marquenotebasdepage"/>
          <w:rFonts w:cs="Verdana Bold Italic"/>
          <w:color w:val="000000"/>
        </w:rPr>
        <w:footnoteReference w:id="21"/>
      </w:r>
      <w:r w:rsidRPr="009A3196">
        <w:rPr>
          <w:rFonts w:cs="Verdana Bold Italic"/>
          <w:color w:val="000000"/>
        </w:rPr>
        <w:t xml:space="preserve"> </w:t>
      </w:r>
      <w:r>
        <w:rPr>
          <w:rFonts w:cs="Verdana Bold Italic"/>
          <w:color w:val="000000"/>
        </w:rPr>
        <w:t xml:space="preserve"> Et Delion de s’inquiéter déjà du </w:t>
      </w:r>
      <w:r w:rsidRPr="009A3196">
        <w:rPr>
          <w:rFonts w:cs="Verdana Bold Italic"/>
          <w:color w:val="000000"/>
        </w:rPr>
        <w:t xml:space="preserve">« recours aux enseignants en tant qu'évaluateurs des troubles cliniques des enfants dont ils ont la charge, </w:t>
      </w:r>
      <w:r>
        <w:rPr>
          <w:rFonts w:cs="Verdana Bold Italic"/>
          <w:color w:val="000000"/>
        </w:rPr>
        <w:t>[</w:t>
      </w:r>
      <w:r w:rsidR="00CA002D">
        <w:rPr>
          <w:rFonts w:cs="Verdana Bold Italic"/>
          <w:color w:val="000000"/>
        </w:rPr>
        <w:t xml:space="preserve">ce </w:t>
      </w:r>
      <w:r>
        <w:rPr>
          <w:rFonts w:cs="Verdana Bold Italic"/>
          <w:color w:val="000000"/>
        </w:rPr>
        <w:t xml:space="preserve">qui] </w:t>
      </w:r>
      <w:r w:rsidRPr="009A3196">
        <w:rPr>
          <w:rFonts w:cs="Verdana Bold Italic"/>
          <w:color w:val="000000"/>
        </w:rPr>
        <w:t>ne peut pas aller sans soulever un certain nombre de problèmes éthiques (par exemple en ce qui concerne la contribution des enseignants à la cotation des échelles de Conner</w:t>
      </w:r>
      <w:r w:rsidR="00634DF9">
        <w:rPr>
          <w:rFonts w:cs="Verdana Bold Italic"/>
          <w:color w:val="000000"/>
        </w:rPr>
        <w:t xml:space="preserve">) ». </w:t>
      </w:r>
    </w:p>
    <w:p w:rsidR="0033343B" w:rsidRPr="0033343B" w:rsidRDefault="0033343B" w:rsidP="001F6C85">
      <w:pPr>
        <w:widowControl w:val="0"/>
        <w:autoSpaceDE w:val="0"/>
        <w:autoSpaceDN w:val="0"/>
        <w:adjustRightInd w:val="0"/>
        <w:spacing w:after="240" w:line="300" w:lineRule="atLeast"/>
        <w:ind w:firstLine="708"/>
        <w:jc w:val="both"/>
        <w:rPr>
          <w:rFonts w:ascii="Apple Chancery" w:hAnsi="Apple Chancery" w:cs="Apple Chancery"/>
          <w:color w:val="000000"/>
        </w:rPr>
      </w:pPr>
      <w:r>
        <w:rPr>
          <w:rFonts w:ascii="Apple Chancery" w:hAnsi="Apple Chancery" w:cs="Apple Chancery"/>
          <w:color w:val="000000"/>
        </w:rPr>
        <w:t>Le TDA/H : le diagnostic est-il un produit de marketing </w:t>
      </w:r>
      <w:r w:rsidR="00896813">
        <w:rPr>
          <w:rFonts w:ascii="Apple Chancery" w:hAnsi="Apple Chancery" w:cs="Apple Chancery"/>
          <w:color w:val="000000"/>
        </w:rPr>
        <w:t xml:space="preserve">pour la prescription </w:t>
      </w:r>
      <w:r>
        <w:rPr>
          <w:rFonts w:ascii="Apple Chancery" w:hAnsi="Apple Chancery" w:cs="Apple Chancery"/>
          <w:color w:val="000000"/>
        </w:rPr>
        <w:t>?</w:t>
      </w:r>
    </w:p>
    <w:p w:rsidR="00CA002D" w:rsidRDefault="00634DF9" w:rsidP="001F6C85">
      <w:pPr>
        <w:widowControl w:val="0"/>
        <w:autoSpaceDE w:val="0"/>
        <w:autoSpaceDN w:val="0"/>
        <w:adjustRightInd w:val="0"/>
        <w:spacing w:after="240" w:line="300" w:lineRule="atLeast"/>
        <w:ind w:firstLine="708"/>
        <w:jc w:val="both"/>
        <w:rPr>
          <w:rFonts w:cs="Verdana Bold Italic"/>
          <w:color w:val="000000"/>
        </w:rPr>
      </w:pPr>
      <w:r>
        <w:rPr>
          <w:rFonts w:cs="Verdana Bold Italic"/>
          <w:color w:val="000000"/>
        </w:rPr>
        <w:t>Un tollé s’était élevé récemment contre la présence sur le site du Ministère de l’Education Nationale de fiches pratiques destinées aux enseignants pour repérer les enfants TDA/H. Je n’ai pas trouvé en préparant ce travail d’indication sur le TDA/H sur le site de l’E</w:t>
      </w:r>
      <w:r w:rsidR="00CA002D">
        <w:rPr>
          <w:rFonts w:cs="Verdana Bold Italic"/>
          <w:color w:val="000000"/>
        </w:rPr>
        <w:t xml:space="preserve">ducation Nationale. </w:t>
      </w:r>
    </w:p>
    <w:p w:rsidR="00640F03" w:rsidRDefault="00CA002D" w:rsidP="001F6C85">
      <w:pPr>
        <w:widowControl w:val="0"/>
        <w:autoSpaceDE w:val="0"/>
        <w:autoSpaceDN w:val="0"/>
        <w:adjustRightInd w:val="0"/>
        <w:spacing w:after="240" w:line="300" w:lineRule="atLeast"/>
        <w:ind w:firstLine="708"/>
        <w:jc w:val="both"/>
        <w:rPr>
          <w:rFonts w:cs="Verdana Bold Italic"/>
          <w:color w:val="000000"/>
        </w:rPr>
      </w:pPr>
      <w:r>
        <w:rPr>
          <w:rFonts w:cs="Verdana Bold Italic"/>
          <w:color w:val="000000"/>
        </w:rPr>
        <w:t xml:space="preserve">En octobre 2018, un colloque intitulé </w:t>
      </w:r>
      <w:r w:rsidRPr="00CA002D">
        <w:rPr>
          <w:rFonts w:cs="Verdana Bold Italic"/>
          <w:i/>
          <w:color w:val="000000"/>
        </w:rPr>
        <w:t>Stop à l’épidémie de TDA/H</w:t>
      </w:r>
      <w:r w:rsidR="00634DF9">
        <w:rPr>
          <w:rFonts w:cs="Verdana Bold Italic"/>
          <w:color w:val="000000"/>
        </w:rPr>
        <w:t xml:space="preserve"> s’est tenu dans un amphithéâtre de l’hôpital de la Pitié Salpétrière, organisé par le collectif ST</w:t>
      </w:r>
      <w:r w:rsidR="007D408F">
        <w:rPr>
          <w:rFonts w:cs="Verdana Bold Italic"/>
          <w:color w:val="000000"/>
        </w:rPr>
        <w:t>O</w:t>
      </w:r>
      <w:r w:rsidR="00BF49E1">
        <w:rPr>
          <w:rFonts w:cs="Verdana Bold Italic"/>
          <w:color w:val="000000"/>
        </w:rPr>
        <w:t xml:space="preserve">P DSM. Ce collectif essaie de faire avancer des débats jugés importants pour l’avenir de la psychiatrie en réalisant des rencontres entre spécialistes d’obédiences différentes, réunis par leur intérêt partagé pour </w:t>
      </w:r>
      <w:r w:rsidR="00D6454F">
        <w:rPr>
          <w:rFonts w:cs="Verdana Bold Italic"/>
          <w:color w:val="000000"/>
        </w:rPr>
        <w:t xml:space="preserve">le </w:t>
      </w:r>
      <w:r w:rsidR="00BF49E1">
        <w:rPr>
          <w:rFonts w:cs="Verdana Bold Italic"/>
          <w:color w:val="000000"/>
        </w:rPr>
        <w:t>débat d’idées et les questions d’éthique. Patrick Landmann, psychiatre</w:t>
      </w:r>
      <w:r w:rsidR="00D6454F">
        <w:rPr>
          <w:rFonts w:cs="Verdana Bold Italic"/>
          <w:color w:val="000000"/>
        </w:rPr>
        <w:t>,</w:t>
      </w:r>
      <w:r w:rsidR="00BF49E1">
        <w:rPr>
          <w:rFonts w:cs="Verdana Bold Italic"/>
          <w:color w:val="000000"/>
        </w:rPr>
        <w:t xml:space="preserve"> psychanalyste et </w:t>
      </w:r>
      <w:r>
        <w:rPr>
          <w:rFonts w:cs="Verdana Bold Italic"/>
          <w:color w:val="000000"/>
        </w:rPr>
        <w:t>fondateur du collectif soulignait</w:t>
      </w:r>
      <w:r w:rsidR="00BF49E1">
        <w:rPr>
          <w:rFonts w:cs="Verdana Bold Italic"/>
          <w:color w:val="000000"/>
        </w:rPr>
        <w:t xml:space="preserve"> qu’il y avait une augmentation par 30 de la prescription de Ritaline en 20 ans en France, ce qui ne permet sans doute plus de considérer cet</w:t>
      </w:r>
      <w:r>
        <w:rPr>
          <w:rFonts w:cs="Verdana Bold Italic"/>
          <w:color w:val="000000"/>
        </w:rPr>
        <w:t xml:space="preserve">te prescription comme marginale, </w:t>
      </w:r>
      <w:r w:rsidR="00BF49E1">
        <w:rPr>
          <w:rFonts w:cs="Verdana Bold Italic"/>
          <w:color w:val="000000"/>
        </w:rPr>
        <w:t xml:space="preserve">malgré le chiffre bas donné par le sociologue australien Manuel Vallée. J’ai retenu </w:t>
      </w:r>
      <w:r>
        <w:rPr>
          <w:rFonts w:cs="Verdana Bold Italic"/>
          <w:color w:val="000000"/>
        </w:rPr>
        <w:t xml:space="preserve">du colloque </w:t>
      </w:r>
      <w:r w:rsidR="00BF49E1">
        <w:rPr>
          <w:rFonts w:cs="Verdana Bold Italic"/>
          <w:color w:val="000000"/>
        </w:rPr>
        <w:t>l’argument du psychiatre brita</w:t>
      </w:r>
      <w:r>
        <w:rPr>
          <w:rFonts w:cs="Verdana Bold Italic"/>
          <w:color w:val="000000"/>
        </w:rPr>
        <w:t>nnique Sami Tamimi contestant</w:t>
      </w:r>
      <w:r w:rsidR="00D6454F">
        <w:rPr>
          <w:rFonts w:cs="Verdana Bold Italic"/>
          <w:color w:val="000000"/>
        </w:rPr>
        <w:t xml:space="preserve"> </w:t>
      </w:r>
      <w:r w:rsidR="00BF49E1">
        <w:rPr>
          <w:rFonts w:cs="Verdana Bold Italic"/>
          <w:color w:val="000000"/>
        </w:rPr>
        <w:t xml:space="preserve">l’argument provenant des twin-studies (études de jumeaux) qui porterait l’héritabilité du TDA/H à 70%. Il souligne simplement – et il est surprenant que dans l’univers des TND cet argument paraisse le plus souvent inconnu </w:t>
      </w:r>
      <w:r w:rsidR="0056039A">
        <w:rPr>
          <w:rFonts w:cs="Verdana Bold Italic"/>
          <w:color w:val="000000"/>
        </w:rPr>
        <w:t>–</w:t>
      </w:r>
      <w:r w:rsidR="00BF49E1">
        <w:rPr>
          <w:rFonts w:cs="Verdana Bold Italic"/>
          <w:color w:val="000000"/>
        </w:rPr>
        <w:t xml:space="preserve"> </w:t>
      </w:r>
      <w:r w:rsidR="0056039A">
        <w:rPr>
          <w:rFonts w:cs="Verdana Bold Italic"/>
          <w:color w:val="000000"/>
        </w:rPr>
        <w:t>que ces études de jumeaux ne peuvent pas démêler les facteurs gé</w:t>
      </w:r>
      <w:r w:rsidR="00D6454F">
        <w:rPr>
          <w:rFonts w:cs="Verdana Bold Italic"/>
          <w:color w:val="000000"/>
        </w:rPr>
        <w:t>nétiques et non génétiques. L</w:t>
      </w:r>
      <w:r w:rsidR="0056039A">
        <w:rPr>
          <w:rFonts w:cs="Verdana Bold Italic"/>
          <w:color w:val="000000"/>
        </w:rPr>
        <w:t>’hypothèse intitulée « Equal Environnement Assumption » qui suppose qu’il n’y a pas de différence environnemental</w:t>
      </w:r>
      <w:r>
        <w:rPr>
          <w:rFonts w:cs="Verdana Bold Italic"/>
          <w:color w:val="000000"/>
        </w:rPr>
        <w:t>e, éducative, affective</w:t>
      </w:r>
      <w:r w:rsidR="0056039A">
        <w:rPr>
          <w:rFonts w:cs="Verdana Bold Italic"/>
          <w:color w:val="000000"/>
        </w:rPr>
        <w:t xml:space="preserve"> majeur</w:t>
      </w:r>
      <w:r>
        <w:rPr>
          <w:rFonts w:cs="Verdana Bold Italic"/>
          <w:color w:val="000000"/>
        </w:rPr>
        <w:t>e</w:t>
      </w:r>
      <w:r w:rsidR="0056039A">
        <w:rPr>
          <w:rFonts w:cs="Verdana Bold Italic"/>
          <w:color w:val="000000"/>
        </w:rPr>
        <w:t xml:space="preserve"> entre le milieu des jume</w:t>
      </w:r>
      <w:r>
        <w:rPr>
          <w:rFonts w:cs="Verdana Bold Italic"/>
          <w:color w:val="000000"/>
        </w:rPr>
        <w:t>a</w:t>
      </w:r>
      <w:r w:rsidR="0056039A">
        <w:rPr>
          <w:rFonts w:cs="Verdana Bold Italic"/>
          <w:color w:val="000000"/>
        </w:rPr>
        <w:t xml:space="preserve">ux mono et dizygotes, ne tient tout simplement pas. </w:t>
      </w:r>
      <w:r w:rsidR="00D6454F">
        <w:rPr>
          <w:rFonts w:cs="Verdana Bold Italic"/>
          <w:color w:val="000000"/>
        </w:rPr>
        <w:t>Il y a une incidence sur l’envi</w:t>
      </w:r>
      <w:r>
        <w:rPr>
          <w:rFonts w:cs="Verdana Bold Italic"/>
          <w:color w:val="000000"/>
        </w:rPr>
        <w:t>ronnement provenant du fait qu’il s’agit</w:t>
      </w:r>
      <w:r w:rsidR="00D6454F">
        <w:rPr>
          <w:rFonts w:cs="Verdana Bold Italic"/>
          <w:color w:val="000000"/>
        </w:rPr>
        <w:t xml:space="preserve"> de jumeaux homozygotes plutôt que hétérozygotes. </w:t>
      </w:r>
      <w:r w:rsidR="0056039A">
        <w:rPr>
          <w:rFonts w:cs="Verdana Bold Italic"/>
          <w:color w:val="000000"/>
        </w:rPr>
        <w:t xml:space="preserve">Qui a connu des jumeaux ou qui tout simplement connaît des mères, est ou a été </w:t>
      </w:r>
      <w:r w:rsidR="00D6454F">
        <w:rPr>
          <w:rFonts w:cs="Verdana Bold Italic"/>
          <w:color w:val="000000"/>
        </w:rPr>
        <w:t xml:space="preserve">soi-même une </w:t>
      </w:r>
      <w:r w:rsidR="0056039A">
        <w:rPr>
          <w:rFonts w:cs="Verdana Bold Italic"/>
          <w:color w:val="000000"/>
        </w:rPr>
        <w:t>mère, ne peut qu’accepter cette objection à</w:t>
      </w:r>
      <w:r>
        <w:rPr>
          <w:rFonts w:cs="Verdana Bold Italic"/>
          <w:color w:val="000000"/>
        </w:rPr>
        <w:t xml:space="preserve"> mon sens. L</w:t>
      </w:r>
      <w:r w:rsidR="00D6454F">
        <w:rPr>
          <w:rFonts w:cs="Verdana Bold Italic"/>
          <w:color w:val="000000"/>
        </w:rPr>
        <w:t xml:space="preserve">e colloque </w:t>
      </w:r>
      <w:r w:rsidRPr="00CA002D">
        <w:rPr>
          <w:rFonts w:cs="Verdana Bold Italic"/>
          <w:i/>
          <w:color w:val="000000"/>
        </w:rPr>
        <w:t>Stop à l’épidémie de TDA/H</w:t>
      </w:r>
      <w:r>
        <w:rPr>
          <w:rFonts w:cs="Verdana Bold Italic"/>
          <w:color w:val="000000"/>
        </w:rPr>
        <w:t xml:space="preserve"> </w:t>
      </w:r>
      <w:r w:rsidR="00D6454F">
        <w:rPr>
          <w:rFonts w:cs="Verdana Bold Italic"/>
          <w:color w:val="000000"/>
        </w:rPr>
        <w:t>déconstruisait</w:t>
      </w:r>
      <w:r w:rsidR="0056039A">
        <w:rPr>
          <w:rFonts w:cs="Verdana Bold Italic"/>
          <w:color w:val="000000"/>
        </w:rPr>
        <w:t xml:space="preserve"> encore un </w:t>
      </w:r>
      <w:r w:rsidR="00D6454F">
        <w:rPr>
          <w:rFonts w:cs="Verdana Bold Italic"/>
          <w:color w:val="000000"/>
        </w:rPr>
        <w:t>peu l’hypothèse  qu’évoque toujours</w:t>
      </w:r>
      <w:r w:rsidR="0056039A">
        <w:rPr>
          <w:rFonts w:cs="Verdana Bold Italic"/>
          <w:color w:val="000000"/>
        </w:rPr>
        <w:t xml:space="preserve"> le signifiant TDA/H</w:t>
      </w:r>
      <w:r>
        <w:rPr>
          <w:rFonts w:cs="Verdana Bold Italic"/>
          <w:color w:val="000000"/>
        </w:rPr>
        <w:t>,</w:t>
      </w:r>
      <w:r w:rsidR="0056039A">
        <w:rPr>
          <w:rFonts w:cs="Verdana Bold Italic"/>
          <w:color w:val="000000"/>
        </w:rPr>
        <w:t xml:space="preserve"> d’une différence de nature avec le normal. En 2018, aucune étude ne sembla</w:t>
      </w:r>
      <w:r>
        <w:rPr>
          <w:rFonts w:cs="Verdana Bold Italic"/>
          <w:color w:val="000000"/>
        </w:rPr>
        <w:t>it avoir apporté des preuves</w:t>
      </w:r>
      <w:r w:rsidR="0056039A">
        <w:rPr>
          <w:rFonts w:cs="Verdana Bold Italic"/>
          <w:color w:val="000000"/>
        </w:rPr>
        <w:t xml:space="preserve"> en faveur d’une efficacité des psychostimulants à long terme sur le risque d’échec scolaire, d’inadaptation sociale ou de toxicomanie ultérieure. L’absence d’</w:t>
      </w:r>
      <w:r w:rsidR="00D6454F">
        <w:rPr>
          <w:rFonts w:cs="Verdana Bold Italic"/>
          <w:color w:val="000000"/>
        </w:rPr>
        <w:t xml:space="preserve">études longitudinales longues </w:t>
      </w:r>
      <w:r w:rsidR="00F875A3">
        <w:rPr>
          <w:rFonts w:cs="Verdana Bold Italic"/>
          <w:color w:val="000000"/>
        </w:rPr>
        <w:t>pour évaluer un éventuel impact négatif</w:t>
      </w:r>
      <w:r w:rsidR="00D6454F">
        <w:rPr>
          <w:rFonts w:cs="Verdana Bold Italic"/>
          <w:color w:val="000000"/>
        </w:rPr>
        <w:t xml:space="preserve"> était signalée</w:t>
      </w:r>
      <w:r w:rsidR="00F875A3">
        <w:rPr>
          <w:rFonts w:cs="Verdana Bold Italic"/>
          <w:color w:val="000000"/>
        </w:rPr>
        <w:t>. Le ralenti</w:t>
      </w:r>
      <w:r>
        <w:rPr>
          <w:rFonts w:cs="Verdana Bold Italic"/>
          <w:color w:val="000000"/>
        </w:rPr>
        <w:t>ssement de la croissance ne semblait</w:t>
      </w:r>
      <w:r w:rsidR="00F875A3">
        <w:rPr>
          <w:rFonts w:cs="Verdana Bold Italic"/>
          <w:color w:val="000000"/>
        </w:rPr>
        <w:t xml:space="preserve"> pas documenté à long terme en cas de prise quotidienne sans interruption le </w:t>
      </w:r>
      <w:r w:rsidR="001C3AE4">
        <w:rPr>
          <w:rFonts w:cs="Verdana Bold Italic"/>
          <w:color w:val="000000"/>
        </w:rPr>
        <w:t>weekend</w:t>
      </w:r>
      <w:r w:rsidR="00F875A3">
        <w:rPr>
          <w:rFonts w:cs="Verdana Bold Italic"/>
          <w:color w:val="000000"/>
        </w:rPr>
        <w:t xml:space="preserve"> end ou pendant les vacances. En conclusion il était fortement recommandé de ne prescrire que pour une durée li</w:t>
      </w:r>
      <w:r w:rsidR="00D6454F">
        <w:rPr>
          <w:rFonts w:cs="Verdana Bold Italic"/>
          <w:color w:val="000000"/>
        </w:rPr>
        <w:t>mitée. La dissonance</w:t>
      </w:r>
      <w:r w:rsidR="00F875A3">
        <w:rPr>
          <w:rFonts w:cs="Verdana Bold Italic"/>
          <w:color w:val="000000"/>
        </w:rPr>
        <w:t xml:space="preserve"> est venu d’un pédopsychiatre, Jean Chambry, qui a mis le poids de son autorité de chef de service pour plaider, dans le cadre de sa vision intégrative, en faveur de l’intérêt de la </w:t>
      </w:r>
      <w:r>
        <w:rPr>
          <w:rFonts w:cs="Verdana Bold Italic"/>
          <w:color w:val="000000"/>
        </w:rPr>
        <w:t>prescription pour refluidifier l</w:t>
      </w:r>
      <w:r w:rsidR="00F875A3">
        <w:rPr>
          <w:rFonts w:cs="Verdana Bold Italic"/>
          <w:color w:val="000000"/>
        </w:rPr>
        <w:t>es dynamiques familiales crispées par le symptôme et installer des bases pour une thérapie relationnelle</w:t>
      </w:r>
      <w:r w:rsidR="00EA46C2">
        <w:rPr>
          <w:rFonts w:cs="Verdana Bold Italic"/>
          <w:color w:val="000000"/>
        </w:rPr>
        <w:t>. Je me souviens qu’il affirmait avoir une importante</w:t>
      </w:r>
      <w:r w:rsidR="00F875A3">
        <w:rPr>
          <w:rFonts w:cs="Verdana Bold Italic"/>
          <w:color w:val="000000"/>
        </w:rPr>
        <w:t xml:space="preserve"> fil</w:t>
      </w:r>
      <w:r w:rsidR="00D6454F">
        <w:rPr>
          <w:rFonts w:cs="Verdana Bold Italic"/>
          <w:color w:val="000000"/>
        </w:rPr>
        <w:t xml:space="preserve">e active </w:t>
      </w:r>
      <w:r w:rsidR="00EA46C2">
        <w:rPr>
          <w:rFonts w:cs="Verdana Bold Italic"/>
          <w:color w:val="000000"/>
        </w:rPr>
        <w:t xml:space="preserve">d’enfants </w:t>
      </w:r>
      <w:r w:rsidR="00F875A3">
        <w:rPr>
          <w:rFonts w:cs="Verdana Bold Italic"/>
          <w:color w:val="000000"/>
        </w:rPr>
        <w:t>avec cette prescription dans un CMP à Paris. Je m</w:t>
      </w:r>
      <w:r w:rsidR="00EA46C2">
        <w:rPr>
          <w:rFonts w:cs="Verdana Bold Italic"/>
          <w:color w:val="000000"/>
        </w:rPr>
        <w:t>e suis demandé comment l’acte de la</w:t>
      </w:r>
      <w:r w:rsidR="00F875A3">
        <w:rPr>
          <w:rFonts w:cs="Verdana Bold Italic"/>
          <w:color w:val="000000"/>
        </w:rPr>
        <w:t xml:space="preserve"> prescriptio</w:t>
      </w:r>
      <w:r w:rsidR="00D6454F">
        <w:rPr>
          <w:rFonts w:cs="Verdana Bold Italic"/>
          <w:color w:val="000000"/>
        </w:rPr>
        <w:t xml:space="preserve">n de Ritaline </w:t>
      </w:r>
      <w:r w:rsidR="00EA46C2">
        <w:rPr>
          <w:rFonts w:cs="Verdana Bold Italic"/>
          <w:color w:val="000000"/>
        </w:rPr>
        <w:t>pouvait laisser ouverte la voie de la thérapie relationnelle avec l’ensemble du groupe familial, car dans ma pratique je l’ai ressentie comme impossible.</w:t>
      </w:r>
    </w:p>
    <w:p w:rsidR="00640F03" w:rsidRDefault="00B91DFF" w:rsidP="001F6C85">
      <w:pPr>
        <w:widowControl w:val="0"/>
        <w:autoSpaceDE w:val="0"/>
        <w:autoSpaceDN w:val="0"/>
        <w:adjustRightInd w:val="0"/>
        <w:spacing w:after="240" w:line="300" w:lineRule="atLeast"/>
        <w:ind w:firstLine="708"/>
        <w:jc w:val="both"/>
        <w:rPr>
          <w:rFonts w:cs="Verdana Bold Italic"/>
          <w:color w:val="000000"/>
        </w:rPr>
      </w:pPr>
      <w:r>
        <w:rPr>
          <w:rFonts w:cs="Verdana Bold Italic"/>
          <w:color w:val="000000"/>
        </w:rPr>
        <w:t>Dans ma clinique</w:t>
      </w:r>
      <w:r w:rsidR="00640F03">
        <w:rPr>
          <w:rFonts w:cs="Verdana Bold Italic"/>
          <w:color w:val="000000"/>
        </w:rPr>
        <w:t xml:space="preserve"> quotidienne</w:t>
      </w:r>
      <w:r>
        <w:rPr>
          <w:rFonts w:cs="Verdana Bold Italic"/>
          <w:color w:val="000000"/>
        </w:rPr>
        <w:t>, je suis plutôt amenée à rencontrer des familles qui demandent à être protégées d’une éventuelle médication de leur enfan</w:t>
      </w:r>
      <w:r w:rsidR="008812AF">
        <w:rPr>
          <w:rFonts w:cs="Verdana Bold Italic"/>
          <w:color w:val="000000"/>
        </w:rPr>
        <w:t>t. Et j</w:t>
      </w:r>
      <w:r w:rsidR="00640F03">
        <w:rPr>
          <w:rFonts w:cs="Verdana Bold Italic"/>
          <w:color w:val="000000"/>
        </w:rPr>
        <w:t>e n’ai pas la</w:t>
      </w:r>
      <w:r>
        <w:rPr>
          <w:rFonts w:cs="Verdana Bold Italic"/>
          <w:color w:val="000000"/>
        </w:rPr>
        <w:t xml:space="preserve"> tentation de leur proposer ce médicament car d’autres problématiques que je considère comme des comorbidités au sens des TND ne manquent jamais : problèmes familiaux, anxiété, difficultés de séparation, pathologie ou immaturité parentale et carences éducatives…</w:t>
      </w:r>
      <w:r w:rsidR="009E5F6C">
        <w:rPr>
          <w:rFonts w:cs="Verdana Bold Italic"/>
          <w:color w:val="000000"/>
        </w:rPr>
        <w:t xml:space="preserve"> </w:t>
      </w:r>
      <w:r w:rsidR="008812AF">
        <w:rPr>
          <w:rFonts w:cs="Verdana Bold Italic"/>
          <w:color w:val="000000"/>
        </w:rPr>
        <w:t>Dans d’autres cas, le diagnostic scientifico-médiatique impressionne et, en psychanalyste, je dirais qu’il suscite une jouissance ambiguë, pro</w:t>
      </w:r>
      <w:r w:rsidR="00640F03">
        <w:rPr>
          <w:rFonts w:cs="Verdana Bold Italic"/>
          <w:color w:val="000000"/>
        </w:rPr>
        <w:t>voquant du</w:t>
      </w:r>
      <w:r w:rsidR="008812AF">
        <w:rPr>
          <w:rFonts w:cs="Verdana Bold Italic"/>
          <w:color w:val="000000"/>
        </w:rPr>
        <w:t xml:space="preserve"> rejet ou </w:t>
      </w:r>
      <w:r w:rsidR="00640F03">
        <w:rPr>
          <w:rFonts w:cs="Verdana Bold Italic"/>
          <w:color w:val="000000"/>
        </w:rPr>
        <w:t xml:space="preserve">de la </w:t>
      </w:r>
      <w:r w:rsidR="008812AF">
        <w:rPr>
          <w:rFonts w:cs="Verdana Bold Italic"/>
          <w:color w:val="000000"/>
        </w:rPr>
        <w:t>soumission. Quand à mon expérience de la médication, l</w:t>
      </w:r>
      <w:r w:rsidR="009E5F6C">
        <w:rPr>
          <w:rFonts w:cs="Verdana Bold Italic"/>
          <w:color w:val="000000"/>
        </w:rPr>
        <w:t xml:space="preserve">es familles que j’ai pu rencontrer dont un enfant était sous Ritaline m’ont parues chaque fois inquiètes, voire craintives devant un arrêt possible du médicament, non parce que leur enfant allait bien, pas du tout, mais parce qu’elles étaient installées dans le trouble, dans la crainte d’une aggravation en </w:t>
      </w:r>
      <w:r w:rsidR="008812AF">
        <w:rPr>
          <w:rFonts w:cs="Verdana Bold Italic"/>
          <w:color w:val="000000"/>
        </w:rPr>
        <w:t>cas d’arrêt de la prescription. L’enf</w:t>
      </w:r>
      <w:r w:rsidR="00640F03">
        <w:rPr>
          <w:rFonts w:cs="Verdana Bold Italic"/>
          <w:color w:val="000000"/>
        </w:rPr>
        <w:t xml:space="preserve">ant </w:t>
      </w:r>
      <w:r w:rsidR="008812AF">
        <w:rPr>
          <w:rFonts w:cs="Verdana Bold Italic"/>
          <w:color w:val="000000"/>
        </w:rPr>
        <w:t xml:space="preserve">se disait </w:t>
      </w:r>
      <w:r w:rsidR="00640F03">
        <w:rPr>
          <w:rFonts w:cs="Verdana Bold Italic"/>
          <w:color w:val="000000"/>
        </w:rPr>
        <w:t xml:space="preserve">chaque fois </w:t>
      </w:r>
      <w:r w:rsidR="008812AF">
        <w:rPr>
          <w:rFonts w:cs="Verdana Bold Italic"/>
          <w:color w:val="000000"/>
        </w:rPr>
        <w:t xml:space="preserve">lui-même rassuré par ce médicament qui atténuait le caractère anxiogène de sa relation à lui-même à travers ses comportements et attitudes contre-productives et indésirables. </w:t>
      </w:r>
      <w:r w:rsidR="008466FD">
        <w:rPr>
          <w:rFonts w:cs="Verdana Bold Italic"/>
          <w:color w:val="000000"/>
        </w:rPr>
        <w:t>L</w:t>
      </w:r>
      <w:r w:rsidR="009E5F6C">
        <w:rPr>
          <w:rFonts w:cs="Verdana Bold Italic"/>
          <w:color w:val="000000"/>
        </w:rPr>
        <w:t>es conditions transférentielles et cont</w:t>
      </w:r>
      <w:r w:rsidR="008466FD">
        <w:rPr>
          <w:rFonts w:cs="Verdana Bold Italic"/>
          <w:color w:val="000000"/>
        </w:rPr>
        <w:t>re-transférentielles n’étaient alors p</w:t>
      </w:r>
      <w:r w:rsidR="009E5F6C">
        <w:rPr>
          <w:rFonts w:cs="Verdana Bold Italic"/>
          <w:color w:val="000000"/>
        </w:rPr>
        <w:t>eut-être pas réunies pour que je puisse construir</w:t>
      </w:r>
      <w:r w:rsidR="008466FD">
        <w:rPr>
          <w:rFonts w:cs="Verdana Bold Italic"/>
          <w:color w:val="000000"/>
        </w:rPr>
        <w:t>e une alliance thérapeutique</w:t>
      </w:r>
      <w:r w:rsidR="00743B93">
        <w:rPr>
          <w:rFonts w:cs="Verdana Bold Italic"/>
          <w:color w:val="000000"/>
        </w:rPr>
        <w:t>.</w:t>
      </w:r>
      <w:r w:rsidR="009E5F6C">
        <w:rPr>
          <w:rFonts w:cs="Verdana Bold Italic"/>
          <w:color w:val="000000"/>
        </w:rPr>
        <w:t xml:space="preserve"> </w:t>
      </w:r>
      <w:r w:rsidR="00743B93">
        <w:rPr>
          <w:rFonts w:cs="Verdana Bold Italic"/>
          <w:color w:val="000000"/>
        </w:rPr>
        <w:t>La prise de Ritaline était chaque fois prolongée et reconduite depuis plusieurs semestres ou années, sans qu’une consultation thérapeutique n’ait jamais pu avoir lieu</w:t>
      </w:r>
      <w:r w:rsidR="00640F03">
        <w:rPr>
          <w:rFonts w:cs="Verdana Bold Italic"/>
          <w:color w:val="000000"/>
        </w:rPr>
        <w:t>. Je devais refléter pour ces familles</w:t>
      </w:r>
      <w:r w:rsidR="009E5F6C">
        <w:rPr>
          <w:rFonts w:cs="Verdana Bold Italic"/>
          <w:color w:val="000000"/>
        </w:rPr>
        <w:t xml:space="preserve"> un risque, celui qu’une autorité</w:t>
      </w:r>
      <w:r w:rsidR="005F03A1">
        <w:rPr>
          <w:rFonts w:cs="Verdana Bold Italic"/>
          <w:color w:val="000000"/>
        </w:rPr>
        <w:t xml:space="preserve"> – après tout chaque médecin a son autorité –questionne</w:t>
      </w:r>
      <w:r w:rsidR="00640F03">
        <w:rPr>
          <w:rFonts w:cs="Verdana Bold Italic"/>
          <w:color w:val="000000"/>
        </w:rPr>
        <w:t xml:space="preserve"> trop </w:t>
      </w:r>
      <w:r w:rsidR="005F03A1">
        <w:rPr>
          <w:rFonts w:cs="Verdana Bold Italic"/>
          <w:color w:val="000000"/>
        </w:rPr>
        <w:t xml:space="preserve">cette canalisation médicamenteuse de l’activité et des attitudes de leur enfant, un fils à chaque fois, par ailleurs présenté comme  archiprésent, décisionnaire, voire envahissant dans la relation mère-enfant ou  parent-enfant. C’est mon expérience personnelle, je la revendique mais je reconnais bien entendu ses limites. </w:t>
      </w:r>
    </w:p>
    <w:p w:rsidR="00D845EE" w:rsidRPr="006633AC" w:rsidRDefault="005F03A1" w:rsidP="001F6C85">
      <w:pPr>
        <w:widowControl w:val="0"/>
        <w:autoSpaceDE w:val="0"/>
        <w:autoSpaceDN w:val="0"/>
        <w:adjustRightInd w:val="0"/>
        <w:spacing w:after="240" w:line="300" w:lineRule="atLeast"/>
        <w:ind w:firstLine="708"/>
        <w:jc w:val="both"/>
        <w:rPr>
          <w:rFonts w:cs="Times"/>
          <w:color w:val="000000"/>
        </w:rPr>
      </w:pPr>
      <w:r>
        <w:rPr>
          <w:rFonts w:cs="Verdana Bold Italic"/>
          <w:color w:val="000000"/>
        </w:rPr>
        <w:t xml:space="preserve">Enfin, </w:t>
      </w:r>
      <w:r w:rsidR="00640F03">
        <w:rPr>
          <w:rFonts w:cs="Verdana Bold Italic"/>
          <w:color w:val="000000"/>
        </w:rPr>
        <w:t xml:space="preserve">et </w:t>
      </w:r>
      <w:r w:rsidR="00EF6610">
        <w:rPr>
          <w:rFonts w:cs="Verdana Bold Italic"/>
          <w:color w:val="000000"/>
        </w:rPr>
        <w:t>pour se déte</w:t>
      </w:r>
      <w:r w:rsidR="00896813">
        <w:rPr>
          <w:rFonts w:cs="Verdana Bold Italic"/>
          <w:color w:val="000000"/>
        </w:rPr>
        <w:t>ndre un peu, j</w:t>
      </w:r>
      <w:r w:rsidR="00EF6610">
        <w:rPr>
          <w:rFonts w:cs="Verdana Bold Italic"/>
          <w:color w:val="000000"/>
        </w:rPr>
        <w:t xml:space="preserve">’évoquerai un court article </w:t>
      </w:r>
      <w:r w:rsidR="00640F03">
        <w:rPr>
          <w:rFonts w:cs="Verdana Bold Italic"/>
          <w:color w:val="000000"/>
        </w:rPr>
        <w:t xml:space="preserve">d’Alain Gillis, </w:t>
      </w:r>
      <w:r>
        <w:rPr>
          <w:rFonts w:cs="Verdana Bold Italic"/>
          <w:color w:val="000000"/>
        </w:rPr>
        <w:t xml:space="preserve">sur blogs.médiapart.fr, </w:t>
      </w:r>
      <w:r w:rsidR="00640F03">
        <w:rPr>
          <w:rFonts w:cs="Verdana Bold Italic"/>
          <w:color w:val="000000"/>
        </w:rPr>
        <w:t xml:space="preserve">publié en 2014, </w:t>
      </w:r>
      <w:r>
        <w:rPr>
          <w:rFonts w:cs="Verdana Bold Italic"/>
          <w:color w:val="000000"/>
        </w:rPr>
        <w:t xml:space="preserve">intitulé </w:t>
      </w:r>
      <w:r w:rsidRPr="00EF6610">
        <w:rPr>
          <w:rFonts w:cs="Verdana Bold Italic"/>
          <w:i/>
          <w:color w:val="000000"/>
        </w:rPr>
        <w:t>Hyperactivité : maladie fabriquée par Leon Eisenberg</w:t>
      </w:r>
      <w:r w:rsidR="00EF6610">
        <w:rPr>
          <w:rFonts w:cs="Verdana Bold Italic"/>
          <w:color w:val="000000"/>
        </w:rPr>
        <w:t xml:space="preserve">. Il y raconte sa rencontre </w:t>
      </w:r>
      <w:r>
        <w:rPr>
          <w:rFonts w:cs="Verdana Bold Italic"/>
          <w:color w:val="000000"/>
        </w:rPr>
        <w:t xml:space="preserve">sur internet avec ce qualificatif d’inventeur du TDA/H donné au psychiatre </w:t>
      </w:r>
      <w:r w:rsidR="0084049B">
        <w:rPr>
          <w:rFonts w:cs="Verdana Bold Italic"/>
          <w:color w:val="000000"/>
        </w:rPr>
        <w:t xml:space="preserve">américain </w:t>
      </w:r>
      <w:r>
        <w:rPr>
          <w:rFonts w:cs="Verdana Bold Italic"/>
          <w:color w:val="000000"/>
        </w:rPr>
        <w:t>Léon Eisenberg</w:t>
      </w:r>
      <w:r w:rsidR="00D845EE">
        <w:rPr>
          <w:rFonts w:cs="Verdana Bold Italic"/>
          <w:color w:val="000000"/>
        </w:rPr>
        <w:t>,</w:t>
      </w:r>
      <w:r>
        <w:rPr>
          <w:rFonts w:cs="Verdana Bold Italic"/>
          <w:color w:val="000000"/>
        </w:rPr>
        <w:t xml:space="preserve"> qui </w:t>
      </w:r>
      <w:r w:rsidR="0084049B">
        <w:rPr>
          <w:rFonts w:cs="Verdana Bold Italic"/>
          <w:color w:val="000000"/>
        </w:rPr>
        <w:t>a largement contribué à établ</w:t>
      </w:r>
      <w:r w:rsidR="00D845EE">
        <w:rPr>
          <w:rFonts w:cs="Verdana Bold Italic"/>
          <w:color w:val="000000"/>
        </w:rPr>
        <w:t xml:space="preserve">ir le traitement </w:t>
      </w:r>
      <w:r w:rsidR="0084049B">
        <w:rPr>
          <w:rFonts w:cs="Verdana Bold Italic"/>
          <w:color w:val="000000"/>
        </w:rPr>
        <w:t xml:space="preserve">de l’hyperactivité par des amphétamines </w:t>
      </w:r>
      <w:r w:rsidR="00EF6610">
        <w:rPr>
          <w:rFonts w:cs="Verdana Bold Italic"/>
          <w:color w:val="000000"/>
        </w:rPr>
        <w:t xml:space="preserve">en </w:t>
      </w:r>
      <w:r w:rsidR="0084049B">
        <w:rPr>
          <w:rFonts w:cs="Verdana Bold Italic"/>
          <w:color w:val="000000"/>
        </w:rPr>
        <w:t>réalisant les premiers essais cliniques</w:t>
      </w:r>
      <w:r w:rsidR="00D845EE">
        <w:rPr>
          <w:rFonts w:cs="Verdana Bold Italic"/>
          <w:color w:val="000000"/>
        </w:rPr>
        <w:t xml:space="preserve"> dans les années 60</w:t>
      </w:r>
      <w:r w:rsidR="0084049B">
        <w:rPr>
          <w:rFonts w:cs="Verdana Bold Italic"/>
          <w:color w:val="000000"/>
        </w:rPr>
        <w:t xml:space="preserve">. Gillis est tombé </w:t>
      </w:r>
      <w:r w:rsidR="00D845EE">
        <w:rPr>
          <w:rFonts w:cs="Verdana Bold Italic"/>
          <w:color w:val="000000"/>
        </w:rPr>
        <w:t xml:space="preserve">ensuite </w:t>
      </w:r>
      <w:r w:rsidR="0084049B">
        <w:rPr>
          <w:rFonts w:cs="Verdana Bold Italic"/>
          <w:color w:val="000000"/>
        </w:rPr>
        <w:t xml:space="preserve">sur un article du magazine allemand </w:t>
      </w:r>
      <w:r w:rsidR="00D21B84" w:rsidRPr="00D845EE">
        <w:rPr>
          <w:rFonts w:cs="Verdana Bold Italic"/>
          <w:color w:val="000000"/>
        </w:rPr>
        <w:t xml:space="preserve">Der </w:t>
      </w:r>
      <w:r w:rsidR="0084049B" w:rsidRPr="00D845EE">
        <w:rPr>
          <w:rFonts w:cs="Verdana Bold Italic"/>
          <w:color w:val="000000"/>
        </w:rPr>
        <w:t>Spiegel</w:t>
      </w:r>
      <w:r w:rsidR="0084049B">
        <w:rPr>
          <w:rFonts w:cs="Verdana Bold Italic"/>
          <w:color w:val="000000"/>
        </w:rPr>
        <w:t xml:space="preserve"> paru en 2012, trois ans après la mort du psychiatre</w:t>
      </w:r>
      <w:r w:rsidR="00D21B84">
        <w:rPr>
          <w:rFonts w:cs="Verdana Bold Italic"/>
          <w:color w:val="000000"/>
        </w:rPr>
        <w:t xml:space="preserve"> américain :</w:t>
      </w:r>
      <w:r w:rsidR="00EF6610">
        <w:rPr>
          <w:rFonts w:cs="Verdana Bold Italic"/>
          <w:color w:val="000000"/>
        </w:rPr>
        <w:t xml:space="preserve"> une grande enquête intitulée </w:t>
      </w:r>
      <w:r w:rsidR="0084049B">
        <w:rPr>
          <w:rFonts w:cs="Verdana Bold Italic"/>
          <w:color w:val="000000"/>
        </w:rPr>
        <w:t> </w:t>
      </w:r>
      <w:r w:rsidR="0084049B" w:rsidRPr="00EF6610">
        <w:rPr>
          <w:rFonts w:cs="Verdana Bold Italic"/>
          <w:i/>
          <w:color w:val="000000"/>
        </w:rPr>
        <w:t>Schwermut ohne Scham</w:t>
      </w:r>
      <w:r w:rsidR="0084049B">
        <w:rPr>
          <w:rFonts w:cs="Verdana Bold Italic"/>
          <w:color w:val="000000"/>
        </w:rPr>
        <w:t xml:space="preserve">, c’est à dire Mélancolie sans vergogne, consacré aux effets de l’inflation des diagnostics psychiatriques. Le journaliste </w:t>
      </w:r>
      <w:r w:rsidR="00B90867">
        <w:rPr>
          <w:rFonts w:cs="Verdana Bold Italic"/>
          <w:color w:val="000000"/>
        </w:rPr>
        <w:t xml:space="preserve">Jörg Blech </w:t>
      </w:r>
      <w:r w:rsidR="0084049B">
        <w:rPr>
          <w:rFonts w:cs="Verdana Bold Italic"/>
          <w:color w:val="000000"/>
        </w:rPr>
        <w:t>y rapporte une visite chez Eisenberg aux Etats Unis quelques mois avant sa mort</w:t>
      </w:r>
      <w:r w:rsidR="00B90867">
        <w:rPr>
          <w:rFonts w:cs="Verdana Bold Italic"/>
          <w:color w:val="000000"/>
        </w:rPr>
        <w:t xml:space="preserve"> à l’âge de 87 ans. </w:t>
      </w:r>
      <w:r w:rsidR="00D845EE">
        <w:rPr>
          <w:rFonts w:cs="Verdana Bold Italic"/>
          <w:color w:val="000000"/>
        </w:rPr>
        <w:t xml:space="preserve">Et Blech d’écrire que </w:t>
      </w:r>
      <w:r w:rsidR="00B90867">
        <w:rPr>
          <w:rFonts w:cs="Verdana Bold Italic"/>
          <w:color w:val="000000"/>
        </w:rPr>
        <w:t xml:space="preserve">Eisenberg </w:t>
      </w:r>
      <w:r w:rsidR="00D845EE">
        <w:rPr>
          <w:rFonts w:cs="Verdana Bold Italic"/>
          <w:color w:val="000000"/>
        </w:rPr>
        <w:t xml:space="preserve">lui aurait dit </w:t>
      </w:r>
      <w:r w:rsidR="00B90867">
        <w:rPr>
          <w:rFonts w:cs="Verdana Bold Italic"/>
          <w:color w:val="000000"/>
        </w:rPr>
        <w:t> : « ADHS ist ein Parade-beispiel fur eine fabrizierte Erkrankung » (« LeTDA/H est un exemple parfait de maladie fabriquée »)</w:t>
      </w:r>
      <w:r w:rsidR="00D21B84">
        <w:rPr>
          <w:rStyle w:val="Marquenotebasdepage"/>
          <w:rFonts w:cs="Verdana Bold Italic"/>
          <w:color w:val="000000"/>
        </w:rPr>
        <w:footnoteReference w:id="22"/>
      </w:r>
      <w:r w:rsidR="00B90867">
        <w:rPr>
          <w:rFonts w:cs="Verdana Bold Italic"/>
          <w:color w:val="000000"/>
        </w:rPr>
        <w:t xml:space="preserve">. Ce n’est pas </w:t>
      </w:r>
      <w:r w:rsidR="00D21B84">
        <w:rPr>
          <w:rFonts w:cs="Verdana Bold Italic"/>
          <w:color w:val="000000"/>
        </w:rPr>
        <w:t>un scoop, car si certains affirment avec force que le TDA/H vrai ou authentique existe, c’est bien parce qu’on peut en douter</w:t>
      </w:r>
      <w:r w:rsidR="00B90867">
        <w:rPr>
          <w:rFonts w:cs="Verdana Bold Italic"/>
          <w:color w:val="000000"/>
        </w:rPr>
        <w:t>, mais en général cela ne vient pas des Etats Unis et pas de quelqu’un qui a participé à l’extension du diagnostic. Eisenberg était connu pour sa critique du modèle réductionniste qu’avait adopté la psychiatri</w:t>
      </w:r>
      <w:r w:rsidR="00D21B84">
        <w:rPr>
          <w:rFonts w:cs="Verdana Bold Italic"/>
          <w:color w:val="000000"/>
        </w:rPr>
        <w:t>e américaine et pour son inquiétude</w:t>
      </w:r>
      <w:r w:rsidR="00B90867">
        <w:rPr>
          <w:rFonts w:cs="Verdana Bold Italic"/>
          <w:color w:val="000000"/>
        </w:rPr>
        <w:t xml:space="preserve"> de</w:t>
      </w:r>
      <w:r w:rsidR="00D21B84">
        <w:rPr>
          <w:rFonts w:cs="Verdana Bold Italic"/>
          <w:color w:val="000000"/>
        </w:rPr>
        <w:t>vant</w:t>
      </w:r>
      <w:r w:rsidR="00B90867">
        <w:rPr>
          <w:rFonts w:cs="Verdana Bold Italic"/>
          <w:color w:val="000000"/>
        </w:rPr>
        <w:t xml:space="preserve"> l’envolée effréné des prescriptions de psychosti</w:t>
      </w:r>
      <w:r w:rsidR="00EF6610">
        <w:rPr>
          <w:rFonts w:cs="Verdana Bold Italic"/>
          <w:color w:val="000000"/>
        </w:rPr>
        <w:t>mulants</w:t>
      </w:r>
      <w:r w:rsidR="00D21B84">
        <w:rPr>
          <w:rFonts w:cs="Verdana Bold Italic"/>
          <w:color w:val="000000"/>
        </w:rPr>
        <w:t xml:space="preserve"> qu’il ne pouvait plus considérer comme une aide apportée à la population</w:t>
      </w:r>
      <w:r w:rsidR="00EF6610">
        <w:rPr>
          <w:rFonts w:cs="Verdana Bold Italic"/>
          <w:color w:val="000000"/>
        </w:rPr>
        <w:t xml:space="preserve"> (jusqu’à 15% des écoliers</w:t>
      </w:r>
      <w:r w:rsidR="00B90867">
        <w:rPr>
          <w:rFonts w:cs="Verdana Bold Italic"/>
          <w:color w:val="000000"/>
        </w:rPr>
        <w:t xml:space="preserve"> américains r</w:t>
      </w:r>
      <w:r w:rsidR="00EF6610">
        <w:rPr>
          <w:rFonts w:cs="Verdana Bold Italic"/>
          <w:color w:val="000000"/>
        </w:rPr>
        <w:t xml:space="preserve">ecevraient une prescription ou une proposition de prescription </w:t>
      </w:r>
      <w:r w:rsidR="00D21B84">
        <w:rPr>
          <w:rFonts w:cs="Verdana Bold Italic"/>
          <w:color w:val="000000"/>
        </w:rPr>
        <w:t>de Ritaline d’après Alan Schwar</w:t>
      </w:r>
      <w:r w:rsidR="00EF6610">
        <w:rPr>
          <w:rFonts w:cs="Verdana Bold Italic"/>
          <w:color w:val="000000"/>
        </w:rPr>
        <w:t xml:space="preserve">z, auteur de </w:t>
      </w:r>
      <w:r w:rsidR="00EF6610" w:rsidRPr="00EF6610">
        <w:rPr>
          <w:rFonts w:cs="Verdana Bold Italic"/>
          <w:i/>
          <w:color w:val="000000"/>
        </w:rPr>
        <w:t>ADHD NATION, Children, Doctors, Big Pharma and the Making of an American Epidemic</w:t>
      </w:r>
      <w:r w:rsidR="00EF6610">
        <w:rPr>
          <w:rFonts w:cs="Verdana Bold Italic"/>
          <w:color w:val="000000"/>
        </w:rPr>
        <w:t xml:space="preserve">, paru </w:t>
      </w:r>
      <w:r w:rsidR="00D21B84">
        <w:rPr>
          <w:rFonts w:cs="Verdana Bold Italic"/>
          <w:color w:val="000000"/>
        </w:rPr>
        <w:t xml:space="preserve">à New York </w:t>
      </w:r>
      <w:r w:rsidR="00EF6610">
        <w:rPr>
          <w:rFonts w:cs="Verdana Bold Italic"/>
          <w:color w:val="000000"/>
        </w:rPr>
        <w:t xml:space="preserve">en 2016) </w:t>
      </w:r>
      <w:r w:rsidR="00D21B84">
        <w:rPr>
          <w:rFonts w:cs="Verdana Bold Italic"/>
          <w:color w:val="000000"/>
        </w:rPr>
        <w:t>On peut rapporter enfin la phrase grinçante et non dénuée d’humour d’un psychiatre cité dans le livre d</w:t>
      </w:r>
      <w:r w:rsidR="00D845EE">
        <w:rPr>
          <w:rFonts w:cs="Verdana Bold Italic"/>
          <w:color w:val="000000"/>
        </w:rPr>
        <w:t>’Alan Schwarz et rapporté dans un article du</w:t>
      </w:r>
      <w:r w:rsidR="00B8583D">
        <w:rPr>
          <w:rFonts w:cs="Verdana Bold Italic"/>
          <w:color w:val="000000"/>
        </w:rPr>
        <w:t xml:space="preserve"> New York Times en août </w:t>
      </w:r>
      <w:r w:rsidR="00B8583D" w:rsidRPr="006633AC">
        <w:rPr>
          <w:rFonts w:cs="Verdana Bold Italic"/>
          <w:color w:val="000000"/>
        </w:rPr>
        <w:t xml:space="preserve">2016 : </w:t>
      </w:r>
      <w:r w:rsidR="00B8583D" w:rsidRPr="006633AC">
        <w:rPr>
          <w:rFonts w:cs="Times"/>
          <w:color w:val="000000"/>
        </w:rPr>
        <w:t xml:space="preserve">“We’ve decided as a society that it’s too expensive to modify the kid’s environment. So we have to modify the kid.” </w:t>
      </w:r>
      <w:r w:rsidR="006633AC" w:rsidRPr="006633AC">
        <w:rPr>
          <w:rFonts w:cs="Times"/>
          <w:color w:val="000000"/>
        </w:rPr>
        <w:t>(Nous avons décidé, en tant que société, qu’il coutait trop cher de modifier l’environnement de l’enfant. Donc nous avons décidé de modifier l’enfant.)</w:t>
      </w:r>
      <w:r w:rsidR="00896813">
        <w:rPr>
          <w:rStyle w:val="Marquenotebasdepage"/>
          <w:rFonts w:cs="Times"/>
          <w:color w:val="000000"/>
        </w:rPr>
        <w:footnoteReference w:id="23"/>
      </w:r>
    </w:p>
    <w:p w:rsidR="00B8583D" w:rsidRPr="006633AC" w:rsidRDefault="00D845EE" w:rsidP="001F6C85">
      <w:pPr>
        <w:widowControl w:val="0"/>
        <w:autoSpaceDE w:val="0"/>
        <w:autoSpaceDN w:val="0"/>
        <w:adjustRightInd w:val="0"/>
        <w:spacing w:after="240" w:line="300" w:lineRule="atLeast"/>
        <w:ind w:firstLine="708"/>
        <w:jc w:val="both"/>
        <w:rPr>
          <w:rFonts w:cs="Times"/>
          <w:color w:val="000000"/>
        </w:rPr>
      </w:pPr>
      <w:r w:rsidRPr="006633AC">
        <w:rPr>
          <w:rFonts w:cs="Times"/>
          <w:color w:val="000000"/>
        </w:rPr>
        <w:t>Il y a là c</w:t>
      </w:r>
      <w:r w:rsidR="00B8583D" w:rsidRPr="006633AC">
        <w:rPr>
          <w:rFonts w:cs="Times"/>
          <w:color w:val="000000"/>
        </w:rPr>
        <w:t>omme un écho des cons</w:t>
      </w:r>
      <w:r w:rsidRPr="006633AC">
        <w:rPr>
          <w:rFonts w:cs="Times"/>
          <w:color w:val="000000"/>
        </w:rPr>
        <w:t>ultations où nous essayons d’entrer dans</w:t>
      </w:r>
      <w:r w:rsidR="00B8583D" w:rsidRPr="006633AC">
        <w:rPr>
          <w:rFonts w:cs="Times"/>
          <w:color w:val="000000"/>
        </w:rPr>
        <w:t xml:space="preserve"> un travail thérapeutique pour éviter justement d’en arriver à seulement chercher à modifier l’enfant pour le ramener dans la norme édicté par la famille, l’école, ou l’Etat, sachant quelles déceptions et quelles séquelles laissent chez lui les adultes </w:t>
      </w:r>
      <w:r w:rsidRPr="006633AC">
        <w:rPr>
          <w:rFonts w:cs="Times"/>
          <w:color w:val="000000"/>
        </w:rPr>
        <w:t xml:space="preserve">rencontrés </w:t>
      </w:r>
      <w:r w:rsidR="00B8583D" w:rsidRPr="006633AC">
        <w:rPr>
          <w:rFonts w:cs="Times"/>
          <w:color w:val="000000"/>
        </w:rPr>
        <w:t xml:space="preserve">qui n’auront </w:t>
      </w:r>
      <w:r w:rsidRPr="006633AC">
        <w:rPr>
          <w:rFonts w:cs="Times"/>
          <w:color w:val="000000"/>
        </w:rPr>
        <w:t xml:space="preserve">eu </w:t>
      </w:r>
      <w:r w:rsidR="00B8583D" w:rsidRPr="006633AC">
        <w:rPr>
          <w:rFonts w:cs="Times"/>
          <w:color w:val="000000"/>
        </w:rPr>
        <w:t>d’autres projet</w:t>
      </w:r>
      <w:r w:rsidRPr="006633AC">
        <w:rPr>
          <w:rFonts w:cs="Times"/>
          <w:color w:val="000000"/>
        </w:rPr>
        <w:t>s</w:t>
      </w:r>
      <w:r w:rsidR="00B8583D" w:rsidRPr="006633AC">
        <w:rPr>
          <w:rFonts w:cs="Times"/>
          <w:color w:val="000000"/>
        </w:rPr>
        <w:t xml:space="preserve"> pour lui que de le ramener à une norme ou à leurs propres désirs. </w:t>
      </w:r>
    </w:p>
    <w:p w:rsidR="00594C8D" w:rsidRDefault="007152D9" w:rsidP="00992398">
      <w:pPr>
        <w:widowControl w:val="0"/>
        <w:autoSpaceDE w:val="0"/>
        <w:autoSpaceDN w:val="0"/>
        <w:adjustRightInd w:val="0"/>
        <w:spacing w:after="240" w:line="300" w:lineRule="atLeast"/>
        <w:ind w:firstLine="708"/>
        <w:jc w:val="both"/>
        <w:rPr>
          <w:rFonts w:cs="Arial"/>
          <w:color w:val="000000"/>
        </w:rPr>
      </w:pPr>
      <w:r w:rsidRPr="006633AC">
        <w:rPr>
          <w:rFonts w:cs="Times"/>
          <w:color w:val="000000"/>
        </w:rPr>
        <w:t>Pour finir sur une note franchement optimiste, j’évoquera</w:t>
      </w:r>
      <w:r w:rsidR="00594C8D" w:rsidRPr="006633AC">
        <w:rPr>
          <w:rFonts w:cs="Times"/>
          <w:color w:val="000000"/>
        </w:rPr>
        <w:t>i la sortie en juin 2019 d’un avis du Conseil Supérieur de Santé en Belgique issu de groupes de travail d’experts d’architecture comparable aux</w:t>
      </w:r>
      <w:r w:rsidR="00896813">
        <w:rPr>
          <w:rFonts w:cs="Times"/>
          <w:color w:val="000000"/>
        </w:rPr>
        <w:t xml:space="preserve"> commissions des HAS en France. </w:t>
      </w:r>
      <w:r w:rsidR="00594C8D" w:rsidRPr="006633AC">
        <w:rPr>
          <w:rFonts w:cs="Times"/>
          <w:color w:val="000000"/>
        </w:rPr>
        <w:t>Cet avis recommande que les catégories du DSM ne soient pas au centre de l’aménagement des soins, en raison des problèmes que pose leur utilisation</w:t>
      </w:r>
      <w:r w:rsidR="00992398" w:rsidRPr="006633AC">
        <w:rPr>
          <w:rStyle w:val="Marquenotebasdepage"/>
          <w:rFonts w:cs="Times"/>
          <w:color w:val="000000"/>
        </w:rPr>
        <w:footnoteReference w:id="24"/>
      </w:r>
      <w:r w:rsidR="00594C8D" w:rsidRPr="006633AC">
        <w:rPr>
          <w:rFonts w:cs="Times"/>
          <w:color w:val="000000"/>
        </w:rPr>
        <w:t xml:space="preserve">. </w:t>
      </w:r>
      <w:r w:rsidR="00992398" w:rsidRPr="006633AC">
        <w:rPr>
          <w:rFonts w:cs="Times"/>
          <w:color w:val="000000"/>
        </w:rPr>
        <w:t>Il constate que « l’outil pose plusieurs problèmes épistémologiques de validité et de fiabilité qui ne peuvent pas faire l’objet d’une amélioration substantielle »</w:t>
      </w:r>
      <w:r w:rsidR="00992398" w:rsidRPr="006633AC">
        <w:rPr>
          <w:rStyle w:val="Marquenotebasdepage"/>
          <w:rFonts w:cs="Times"/>
          <w:color w:val="000000"/>
        </w:rPr>
        <w:footnoteReference w:id="25"/>
      </w:r>
      <w:r w:rsidR="00992398" w:rsidRPr="006633AC">
        <w:rPr>
          <w:rFonts w:cs="Times"/>
          <w:color w:val="000000"/>
        </w:rPr>
        <w:t xml:space="preserve"> Les auteurs invitent à </w:t>
      </w:r>
      <w:r w:rsidR="003B4700" w:rsidRPr="006633AC">
        <w:rPr>
          <w:rFonts w:cs="Times"/>
          <w:color w:val="000000"/>
        </w:rPr>
        <w:t>écouter de manière attentive les personnes souffrant de troubles psychiques en évitant de réagir de manière trop marquée à partir des diagnostics et en prenant en compte le caractère de recherche/incertain des diagnostics.</w:t>
      </w:r>
      <w:r w:rsidR="00896813">
        <w:rPr>
          <w:rFonts w:cs="Times"/>
          <w:b/>
          <w:color w:val="00000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5E227C" w:rsidRPr="006633AC">
        <w:rPr>
          <w:rFonts w:cs="Arial"/>
          <w:color w:val="000000"/>
        </w:rPr>
        <w:t>Ils conseillent de con</w:t>
      </w:r>
      <w:r w:rsidR="003B4700" w:rsidRPr="006633AC">
        <w:rPr>
          <w:rFonts w:cs="Arial"/>
          <w:color w:val="000000"/>
        </w:rPr>
        <w:t>sidérer les troubles comme interactifs, témoignant d’une lutte entre la personne et le contexte et des difficultés dans la vie. Les troubles « témoignent du caractère unique d’une personne »</w:t>
      </w:r>
      <w:r w:rsidR="005E227C" w:rsidRPr="006633AC">
        <w:rPr>
          <w:rFonts w:cs="Arial"/>
          <w:color w:val="000000"/>
        </w:rPr>
        <w:t>. « Les professionnels et décideurs politiques doivent tout mettre en œuvre pour gérer les signes psychiques de manière non problématisante et non médicalisante. Ils peuvent être l’expression d’incertitudes existentielles »</w:t>
      </w:r>
      <w:r w:rsidR="005E227C" w:rsidRPr="006633AC">
        <w:rPr>
          <w:rStyle w:val="Marquenotebasdepage"/>
          <w:rFonts w:cs="Arial"/>
          <w:color w:val="000000"/>
        </w:rPr>
        <w:footnoteReference w:id="26"/>
      </w:r>
      <w:r w:rsidR="005E227C" w:rsidRPr="006633AC">
        <w:rPr>
          <w:rFonts w:cs="Arial"/>
          <w:color w:val="000000"/>
        </w:rPr>
        <w:t xml:space="preserve">. Le journal </w:t>
      </w:r>
      <w:r w:rsidR="005E227C" w:rsidRPr="00896813">
        <w:rPr>
          <w:rFonts w:cs="Arial"/>
          <w:i/>
          <w:color w:val="000000"/>
        </w:rPr>
        <w:t>The Lancet</w:t>
      </w:r>
      <w:r w:rsidR="005051E6" w:rsidRPr="006633AC">
        <w:rPr>
          <w:rFonts w:cs="Arial"/>
          <w:color w:val="000000"/>
        </w:rPr>
        <w:t xml:space="preserve"> a fait un commentaire de ce document en septembre </w:t>
      </w:r>
      <w:r w:rsidR="00896813">
        <w:rPr>
          <w:rFonts w:cs="Arial"/>
          <w:color w:val="000000"/>
        </w:rPr>
        <w:t xml:space="preserve">2019 </w:t>
      </w:r>
      <w:r w:rsidR="005051E6" w:rsidRPr="006633AC">
        <w:rPr>
          <w:rFonts w:cs="Arial"/>
          <w:color w:val="000000"/>
        </w:rPr>
        <w:t xml:space="preserve">en remarquant que </w:t>
      </w:r>
      <w:r w:rsidR="005E227C" w:rsidRPr="006633AC">
        <w:rPr>
          <w:rFonts w:cs="Arial"/>
          <w:color w:val="000000"/>
        </w:rPr>
        <w:t>c’est la premiè</w:t>
      </w:r>
      <w:r w:rsidR="00896813">
        <w:rPr>
          <w:rFonts w:cs="Arial"/>
          <w:color w:val="000000"/>
        </w:rPr>
        <w:t>re fois qu’un organisme public</w:t>
      </w:r>
      <w:r w:rsidR="005E227C" w:rsidRPr="006633AC">
        <w:rPr>
          <w:rFonts w:cs="Arial"/>
          <w:color w:val="000000"/>
        </w:rPr>
        <w:t xml:space="preserve"> a tiré une conclusion aussi explicite</w:t>
      </w:r>
      <w:r w:rsidR="005051E6" w:rsidRPr="006633AC">
        <w:rPr>
          <w:rFonts w:cs="Arial"/>
          <w:color w:val="000000"/>
        </w:rPr>
        <w:t xml:space="preserve"> sur la manière dont les diagnostics psychiatriques pourraient être mieux utilisés ! </w:t>
      </w:r>
      <w:r w:rsidR="005051E6" w:rsidRPr="006633AC">
        <w:rPr>
          <w:rStyle w:val="Marquenotebasdepage"/>
          <w:rFonts w:cs="Arial"/>
          <w:color w:val="000000"/>
        </w:rPr>
        <w:footnoteReference w:id="27"/>
      </w:r>
    </w:p>
    <w:p w:rsidR="00733629" w:rsidRDefault="00733629" w:rsidP="00992398">
      <w:pPr>
        <w:widowControl w:val="0"/>
        <w:autoSpaceDE w:val="0"/>
        <w:autoSpaceDN w:val="0"/>
        <w:adjustRightInd w:val="0"/>
        <w:spacing w:after="240" w:line="300" w:lineRule="atLeast"/>
        <w:ind w:firstLine="708"/>
        <w:jc w:val="both"/>
        <w:rPr>
          <w:rFonts w:cs="Arial"/>
          <w:color w:val="000000"/>
        </w:rPr>
      </w:pPr>
    </w:p>
    <w:p w:rsidR="00733629" w:rsidRDefault="00733629" w:rsidP="00733629">
      <w:pPr>
        <w:widowControl w:val="0"/>
        <w:autoSpaceDE w:val="0"/>
        <w:autoSpaceDN w:val="0"/>
        <w:adjustRightInd w:val="0"/>
        <w:spacing w:after="240" w:line="300" w:lineRule="atLeast"/>
        <w:jc w:val="both"/>
        <w:rPr>
          <w:rFonts w:cs="Arial"/>
          <w:color w:val="000000"/>
        </w:rPr>
      </w:pPr>
      <w:r>
        <w:rPr>
          <w:rFonts w:cs="Arial"/>
          <w:color w:val="000000"/>
        </w:rPr>
        <w:t>Anna Konrad</w:t>
      </w:r>
    </w:p>
    <w:p w:rsidR="00733629" w:rsidRDefault="00733629" w:rsidP="00733629">
      <w:pPr>
        <w:widowControl w:val="0"/>
        <w:autoSpaceDE w:val="0"/>
        <w:autoSpaceDN w:val="0"/>
        <w:adjustRightInd w:val="0"/>
        <w:spacing w:after="240" w:line="300" w:lineRule="atLeast"/>
        <w:jc w:val="both"/>
        <w:rPr>
          <w:rFonts w:cs="Arial"/>
          <w:color w:val="000000"/>
        </w:rPr>
      </w:pPr>
      <w:r>
        <w:rPr>
          <w:rFonts w:cs="Arial"/>
          <w:color w:val="000000"/>
        </w:rPr>
        <w:t>Psychiatre, psychanalyste</w:t>
      </w:r>
    </w:p>
    <w:p w:rsidR="00733629" w:rsidRDefault="00733629" w:rsidP="00733629">
      <w:pPr>
        <w:widowControl w:val="0"/>
        <w:autoSpaceDE w:val="0"/>
        <w:autoSpaceDN w:val="0"/>
        <w:adjustRightInd w:val="0"/>
        <w:spacing w:after="240" w:line="300" w:lineRule="atLeast"/>
        <w:jc w:val="both"/>
        <w:rPr>
          <w:rFonts w:cs="Arial"/>
          <w:color w:val="000000"/>
        </w:rPr>
      </w:pPr>
      <w:r>
        <w:rPr>
          <w:rFonts w:cs="Arial"/>
          <w:color w:val="000000"/>
        </w:rPr>
        <w:t>24 passage Courtois</w:t>
      </w:r>
    </w:p>
    <w:p w:rsidR="00733629" w:rsidRDefault="00733629" w:rsidP="00733629">
      <w:pPr>
        <w:widowControl w:val="0"/>
        <w:autoSpaceDE w:val="0"/>
        <w:autoSpaceDN w:val="0"/>
        <w:adjustRightInd w:val="0"/>
        <w:spacing w:after="240" w:line="300" w:lineRule="atLeast"/>
        <w:jc w:val="both"/>
        <w:rPr>
          <w:rFonts w:cs="Arial"/>
          <w:color w:val="000000"/>
        </w:rPr>
      </w:pPr>
      <w:r>
        <w:rPr>
          <w:rFonts w:cs="Arial"/>
          <w:color w:val="000000"/>
        </w:rPr>
        <w:t>75011 Paris</w:t>
      </w:r>
    </w:p>
    <w:p w:rsidR="00733629" w:rsidRPr="006633AC" w:rsidRDefault="00733629" w:rsidP="00733629">
      <w:pPr>
        <w:widowControl w:val="0"/>
        <w:autoSpaceDE w:val="0"/>
        <w:autoSpaceDN w:val="0"/>
        <w:adjustRightInd w:val="0"/>
        <w:spacing w:after="240" w:line="300" w:lineRule="atLeast"/>
        <w:jc w:val="both"/>
        <w:rPr>
          <w:rFonts w:cs="Times"/>
          <w:color w:val="000000"/>
        </w:rPr>
      </w:pPr>
      <w:r>
        <w:rPr>
          <w:rFonts w:cs="Arial"/>
          <w:color w:val="000000"/>
        </w:rPr>
        <w:t>anna.konrad@wanadoo.fr</w:t>
      </w:r>
    </w:p>
    <w:p w:rsidR="0066097E" w:rsidRPr="006633AC" w:rsidRDefault="0066097E" w:rsidP="006633AC">
      <w:pPr>
        <w:widowControl w:val="0"/>
        <w:autoSpaceDE w:val="0"/>
        <w:autoSpaceDN w:val="0"/>
        <w:adjustRightInd w:val="0"/>
        <w:spacing w:after="240" w:line="200" w:lineRule="atLeast"/>
        <w:jc w:val="both"/>
        <w:rPr>
          <w:rFonts w:cs="Times"/>
          <w:color w:val="000000"/>
        </w:rPr>
      </w:pPr>
    </w:p>
    <w:sectPr w:rsidR="0066097E" w:rsidRPr="006633AC" w:rsidSect="0066097E">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E18" w:rsidRDefault="00975E18" w:rsidP="007A4D82">
      <w:r>
        <w:separator/>
      </w:r>
    </w:p>
  </w:endnote>
  <w:endnote w:type="continuationSeparator" w:id="0">
    <w:p w:rsidR="00975E18" w:rsidRDefault="00975E18" w:rsidP="007A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AppleSystemUIFontItalic">
    <w:altName w:val="Cambria"/>
    <w:panose1 w:val="00000000000000000000"/>
    <w:charset w:val="00"/>
    <w:family w:val="auto"/>
    <w:notTrueType/>
    <w:pitch w:val="default"/>
    <w:sig w:usb0="00000003" w:usb1="00000000" w:usb2="00000000" w:usb3="00000000" w:csb0="00000001" w:csb1="00000000"/>
  </w:font>
  <w:font w:name="AppleSystemUIFont">
    <w:altName w:val="Cambria"/>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Bold Italic">
    <w:panose1 w:val="020B08040305040B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13" w:rsidRDefault="00896813" w:rsidP="007940A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96813" w:rsidRDefault="00896813" w:rsidP="007940A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13" w:rsidRDefault="00896813" w:rsidP="007940A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27C3A">
      <w:rPr>
        <w:rStyle w:val="Numrodepage"/>
        <w:noProof/>
      </w:rPr>
      <w:t>1</w:t>
    </w:r>
    <w:r>
      <w:rPr>
        <w:rStyle w:val="Numrodepage"/>
      </w:rPr>
      <w:fldChar w:fldCharType="end"/>
    </w:r>
  </w:p>
  <w:p w:rsidR="00896813" w:rsidRDefault="00896813" w:rsidP="007940A1">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E18" w:rsidRDefault="00975E18" w:rsidP="007A4D82">
      <w:r>
        <w:separator/>
      </w:r>
    </w:p>
  </w:footnote>
  <w:footnote w:type="continuationSeparator" w:id="0">
    <w:p w:rsidR="00975E18" w:rsidRDefault="00975E18" w:rsidP="007A4D82">
      <w:r>
        <w:continuationSeparator/>
      </w:r>
    </w:p>
  </w:footnote>
  <w:footnote w:id="1">
    <w:p w:rsidR="00896813" w:rsidRPr="007940A1" w:rsidRDefault="00896813" w:rsidP="007A4D82">
      <w:pPr>
        <w:pStyle w:val="Notedebasdepage"/>
        <w:rPr>
          <w:sz w:val="20"/>
          <w:szCs w:val="20"/>
        </w:rPr>
      </w:pPr>
      <w:r>
        <w:rPr>
          <w:rStyle w:val="Marquenotebasdepage"/>
        </w:rPr>
        <w:footnoteRef/>
      </w:r>
      <w:r>
        <w:t xml:space="preserve"> </w:t>
      </w:r>
      <w:r w:rsidRPr="007940A1">
        <w:rPr>
          <w:sz w:val="20"/>
          <w:szCs w:val="20"/>
        </w:rPr>
        <w:t xml:space="preserve">D. Marcelli, D.Cohen, </w:t>
      </w:r>
      <w:r w:rsidRPr="007940A1">
        <w:rPr>
          <w:i/>
          <w:sz w:val="20"/>
          <w:szCs w:val="20"/>
        </w:rPr>
        <w:t>Enfance et psychopathologie</w:t>
      </w:r>
      <w:r w:rsidRPr="007940A1">
        <w:rPr>
          <w:sz w:val="20"/>
          <w:szCs w:val="20"/>
        </w:rPr>
        <w:t>, 9</w:t>
      </w:r>
      <w:r w:rsidRPr="007940A1">
        <w:rPr>
          <w:sz w:val="20"/>
          <w:szCs w:val="20"/>
          <w:vertAlign w:val="superscript"/>
        </w:rPr>
        <w:t>ème</w:t>
      </w:r>
      <w:r w:rsidRPr="007940A1">
        <w:rPr>
          <w:sz w:val="20"/>
          <w:szCs w:val="20"/>
        </w:rPr>
        <w:t xml:space="preserve"> édition, Elsevier Masson, 2012. P.21</w:t>
      </w:r>
    </w:p>
  </w:footnote>
  <w:footnote w:id="2">
    <w:p w:rsidR="00896813" w:rsidRPr="00B72096" w:rsidRDefault="00896813" w:rsidP="007A4D82">
      <w:pPr>
        <w:pStyle w:val="Notedebasdepage"/>
        <w:rPr>
          <w:sz w:val="20"/>
          <w:szCs w:val="20"/>
        </w:rPr>
      </w:pPr>
      <w:r w:rsidRPr="00B72096">
        <w:rPr>
          <w:rStyle w:val="Marquenotebasdepage"/>
          <w:sz w:val="20"/>
          <w:szCs w:val="20"/>
        </w:rPr>
        <w:footnoteRef/>
      </w:r>
      <w:r w:rsidRPr="00B72096">
        <w:rPr>
          <w:sz w:val="20"/>
          <w:szCs w:val="20"/>
        </w:rPr>
        <w:t xml:space="preserve"> </w:t>
      </w:r>
      <w:r w:rsidRPr="00B72096">
        <w:rPr>
          <w:i/>
          <w:sz w:val="20"/>
          <w:szCs w:val="20"/>
        </w:rPr>
        <w:t>Comment améliorer le parcours de santé d’un enfant avec troubles spécifiques du langage et des apprentissages ?</w:t>
      </w:r>
      <w:r w:rsidRPr="00B72096">
        <w:rPr>
          <w:sz w:val="20"/>
          <w:szCs w:val="20"/>
        </w:rPr>
        <w:t xml:space="preserve"> Guide HAS, « Les parcours de soins », mis en ligne en décembre 2017.</w:t>
      </w:r>
    </w:p>
  </w:footnote>
  <w:footnote w:id="3">
    <w:p w:rsidR="00896813" w:rsidRPr="00B72096" w:rsidRDefault="00896813" w:rsidP="007A4D82">
      <w:pPr>
        <w:pStyle w:val="Notedebasdepage"/>
        <w:jc w:val="both"/>
        <w:rPr>
          <w:sz w:val="20"/>
          <w:szCs w:val="20"/>
        </w:rPr>
      </w:pPr>
      <w:r w:rsidRPr="00B72096">
        <w:rPr>
          <w:rStyle w:val="Marquenotebasdepage"/>
          <w:sz w:val="20"/>
          <w:szCs w:val="20"/>
        </w:rPr>
        <w:footnoteRef/>
      </w:r>
      <w:r w:rsidRPr="00B72096">
        <w:rPr>
          <w:sz w:val="20"/>
          <w:szCs w:val="20"/>
        </w:rPr>
        <w:t xml:space="preserve"> Ibid. p.7.</w:t>
      </w:r>
    </w:p>
  </w:footnote>
  <w:footnote w:id="4">
    <w:p w:rsidR="00896813" w:rsidRPr="00B72096" w:rsidRDefault="00896813" w:rsidP="007A4D82">
      <w:pPr>
        <w:pStyle w:val="Notedebasdepage"/>
        <w:jc w:val="both"/>
        <w:rPr>
          <w:sz w:val="20"/>
          <w:szCs w:val="20"/>
        </w:rPr>
      </w:pPr>
      <w:r w:rsidRPr="00B72096">
        <w:rPr>
          <w:rStyle w:val="Marquenotebasdepage"/>
          <w:sz w:val="20"/>
          <w:szCs w:val="20"/>
        </w:rPr>
        <w:footnoteRef/>
      </w:r>
      <w:r w:rsidRPr="00B72096">
        <w:rPr>
          <w:sz w:val="20"/>
          <w:szCs w:val="20"/>
        </w:rPr>
        <w:t xml:space="preserve"> J.C. Ringard et F. Veber, </w:t>
      </w:r>
      <w:r w:rsidRPr="00B72096">
        <w:rPr>
          <w:i/>
          <w:sz w:val="20"/>
          <w:szCs w:val="20"/>
        </w:rPr>
        <w:t>Rapport sur les Troubles du langage</w:t>
      </w:r>
      <w:r w:rsidRPr="00B72096">
        <w:rPr>
          <w:sz w:val="20"/>
          <w:szCs w:val="20"/>
        </w:rPr>
        <w:t>, 2000, lien présenté dans le Guide TSLA. p.24.</w:t>
      </w:r>
    </w:p>
  </w:footnote>
  <w:footnote w:id="5">
    <w:p w:rsidR="00896813" w:rsidRPr="00B72096" w:rsidRDefault="00896813" w:rsidP="007A4D82">
      <w:pPr>
        <w:pStyle w:val="Notedebasdepage"/>
        <w:rPr>
          <w:sz w:val="20"/>
          <w:szCs w:val="20"/>
        </w:rPr>
      </w:pPr>
      <w:r w:rsidRPr="00B72096">
        <w:rPr>
          <w:rStyle w:val="Marquenotebasdepage"/>
          <w:sz w:val="20"/>
          <w:szCs w:val="20"/>
        </w:rPr>
        <w:footnoteRef/>
      </w:r>
      <w:r w:rsidRPr="00B72096">
        <w:rPr>
          <w:sz w:val="20"/>
          <w:szCs w:val="20"/>
        </w:rPr>
        <w:t xml:space="preserve"> Expertise collective </w:t>
      </w:r>
      <w:r w:rsidRPr="00B72096">
        <w:rPr>
          <w:i/>
          <w:sz w:val="20"/>
          <w:szCs w:val="20"/>
        </w:rPr>
        <w:t>Dyslexie, Dysgraphie, Dyscalculie</w:t>
      </w:r>
      <w:r w:rsidRPr="00B72096">
        <w:rPr>
          <w:sz w:val="20"/>
          <w:szCs w:val="20"/>
        </w:rPr>
        <w:t>, Synthèse et Recommandations, INSERM, 2007</w:t>
      </w:r>
    </w:p>
  </w:footnote>
  <w:footnote w:id="6">
    <w:p w:rsidR="00896813" w:rsidRPr="00797FD0" w:rsidRDefault="00896813" w:rsidP="007A4D82">
      <w:pPr>
        <w:pStyle w:val="Notedebasdepage"/>
        <w:jc w:val="both"/>
        <w:rPr>
          <w:sz w:val="20"/>
          <w:szCs w:val="20"/>
        </w:rPr>
      </w:pPr>
      <w:r w:rsidRPr="00797FD0">
        <w:rPr>
          <w:rStyle w:val="Marquenotebasdepage"/>
          <w:sz w:val="20"/>
          <w:szCs w:val="20"/>
        </w:rPr>
        <w:footnoteRef/>
      </w:r>
      <w:r w:rsidRPr="00797FD0">
        <w:rPr>
          <w:sz w:val="20"/>
          <w:szCs w:val="20"/>
        </w:rPr>
        <w:t xml:space="preserve"> Ibid. p.84.</w:t>
      </w:r>
    </w:p>
  </w:footnote>
  <w:footnote w:id="7">
    <w:p w:rsidR="00896813" w:rsidRPr="00932341" w:rsidRDefault="00896813">
      <w:pPr>
        <w:pStyle w:val="Notedebasdepage"/>
        <w:rPr>
          <w:sz w:val="20"/>
          <w:szCs w:val="20"/>
        </w:rPr>
      </w:pPr>
      <w:r>
        <w:rPr>
          <w:rStyle w:val="Marquenotebasdepage"/>
        </w:rPr>
        <w:footnoteRef/>
      </w:r>
      <w:r>
        <w:t xml:space="preserve"> « </w:t>
      </w:r>
      <w:r>
        <w:rPr>
          <w:sz w:val="20"/>
          <w:szCs w:val="20"/>
        </w:rPr>
        <w:t xml:space="preserve">Ce second niveau de prise en charge répond à un cahier des charges précis : il évalue l’enfant selon une base commune cognitive neurodéveloppementale : les conceptions actuelles des TSLA au niveau international se fondent sur un modèle neuro-psychologique et font l’hypothèse forte d’un trouble neurodéveloppementale à fondement biologique. » </w:t>
      </w:r>
      <w:r w:rsidRPr="00B72096">
        <w:rPr>
          <w:i/>
          <w:sz w:val="20"/>
          <w:szCs w:val="20"/>
        </w:rPr>
        <w:t>Comment améliorer le parcours de santé d’un enfant avec troubles spécifiques du langage et des apprentissages ?</w:t>
      </w:r>
      <w:r w:rsidRPr="00B72096">
        <w:rPr>
          <w:sz w:val="20"/>
          <w:szCs w:val="20"/>
        </w:rPr>
        <w:t xml:space="preserve"> Guide HAS,</w:t>
      </w:r>
      <w:r>
        <w:rPr>
          <w:sz w:val="20"/>
          <w:szCs w:val="20"/>
        </w:rPr>
        <w:t xml:space="preserve"> 2018, p.27</w:t>
      </w:r>
    </w:p>
  </w:footnote>
  <w:footnote w:id="8">
    <w:p w:rsidR="00896813" w:rsidRPr="00797FD0" w:rsidRDefault="00896813" w:rsidP="007A4D82">
      <w:pPr>
        <w:widowControl w:val="0"/>
        <w:autoSpaceDE w:val="0"/>
        <w:autoSpaceDN w:val="0"/>
        <w:adjustRightInd w:val="0"/>
        <w:jc w:val="both"/>
        <w:rPr>
          <w:sz w:val="20"/>
          <w:szCs w:val="20"/>
        </w:rPr>
      </w:pPr>
      <w:r w:rsidRPr="00797FD0">
        <w:rPr>
          <w:rStyle w:val="Marquenotebasdepage"/>
          <w:sz w:val="20"/>
          <w:szCs w:val="20"/>
        </w:rPr>
        <w:footnoteRef/>
      </w:r>
      <w:r w:rsidRPr="00797FD0">
        <w:rPr>
          <w:sz w:val="20"/>
          <w:szCs w:val="20"/>
        </w:rPr>
        <w:t xml:space="preserve"> Des études de gènes (impliqués dans la migration de neurones situés dans des aires cérébrales recrutées plus tard dans les apprentissages) encouragent à l’hypothèse d’une participation génétique mais : « </w:t>
      </w:r>
      <w:r w:rsidRPr="00797FD0">
        <w:rPr>
          <w:rFonts w:cs="Times New Roman"/>
          <w:sz w:val="20"/>
          <w:szCs w:val="20"/>
        </w:rPr>
        <w:t>S’agit-il pour autant de la découverte “des gènes de la dyslexie“ ? Il s’agit tout au plus d’allèles qui augmentent le risque de développer une dyslexie en fonction de l’interaction avec de très nombreux autres facteurs (biochimiques, traumatiques, linguistiques, socio-éducatifs, psychologiques…). Cela ne signifie pas non plus que la cause primaire est toujours génétique, d’autres facteurs sont susceptibles d’être impliqués de manière isolée ou ensemble. Tout paradigme d’un déterminisme exclusivement biologique n’a donc aucune justification.</w:t>
      </w:r>
      <w:r w:rsidRPr="00797FD0">
        <w:rPr>
          <w:sz w:val="20"/>
          <w:szCs w:val="20"/>
        </w:rPr>
        <w:t xml:space="preserve"> » Opus cité. p. 86.</w:t>
      </w:r>
    </w:p>
  </w:footnote>
  <w:footnote w:id="9">
    <w:p w:rsidR="00896813" w:rsidRPr="00797FD0" w:rsidRDefault="00896813" w:rsidP="007A4D82">
      <w:pPr>
        <w:widowControl w:val="0"/>
        <w:autoSpaceDE w:val="0"/>
        <w:autoSpaceDN w:val="0"/>
        <w:adjustRightInd w:val="0"/>
        <w:jc w:val="both"/>
        <w:rPr>
          <w:sz w:val="20"/>
          <w:szCs w:val="20"/>
        </w:rPr>
      </w:pPr>
      <w:r w:rsidRPr="00797FD0">
        <w:rPr>
          <w:rStyle w:val="Marquenotebasdepage"/>
          <w:sz w:val="20"/>
          <w:szCs w:val="20"/>
        </w:rPr>
        <w:footnoteRef/>
      </w:r>
      <w:r w:rsidRPr="00797FD0">
        <w:rPr>
          <w:sz w:val="20"/>
          <w:szCs w:val="20"/>
        </w:rPr>
        <w:t xml:space="preserve"> « </w:t>
      </w:r>
      <w:r w:rsidRPr="00797FD0">
        <w:rPr>
          <w:rFonts w:cs="Times New Roman"/>
          <w:sz w:val="20"/>
          <w:szCs w:val="20"/>
        </w:rPr>
        <w:t>Dyslexie, dysorthographie et dyscalculie peuvent être également associées à des troubles émotionnels (troubles anxio-dépressifs) et comportementaux, secondaires à la situation de difficultés scolaires rencontrées ou s’inscrivant dans une véritable comorbidité. Cette deuxième éventualité laisse ouverte la question de la pluralité et de l’interrelation des déterminismes</w:t>
      </w:r>
      <w:r w:rsidRPr="00797FD0">
        <w:rPr>
          <w:sz w:val="20"/>
          <w:szCs w:val="20"/>
        </w:rPr>
        <w:t>» p.85.</w:t>
      </w:r>
    </w:p>
  </w:footnote>
  <w:footnote w:id="10">
    <w:p w:rsidR="00896813" w:rsidRPr="00797FD0" w:rsidRDefault="00896813" w:rsidP="007A4D82">
      <w:pPr>
        <w:widowControl w:val="0"/>
        <w:autoSpaceDE w:val="0"/>
        <w:autoSpaceDN w:val="0"/>
        <w:adjustRightInd w:val="0"/>
        <w:jc w:val="both"/>
        <w:rPr>
          <w:rFonts w:cs="Times New Roman"/>
          <w:sz w:val="20"/>
          <w:szCs w:val="20"/>
        </w:rPr>
      </w:pPr>
      <w:r w:rsidRPr="00797FD0">
        <w:rPr>
          <w:rStyle w:val="Marquenotebasdepage"/>
          <w:sz w:val="20"/>
          <w:szCs w:val="20"/>
        </w:rPr>
        <w:footnoteRef/>
      </w:r>
      <w:r w:rsidRPr="00797FD0">
        <w:rPr>
          <w:sz w:val="20"/>
          <w:szCs w:val="20"/>
        </w:rPr>
        <w:t xml:space="preserve"> « - </w:t>
      </w:r>
      <w:r w:rsidRPr="00797FD0">
        <w:rPr>
          <w:rFonts w:cs="Times New Roman"/>
          <w:sz w:val="20"/>
          <w:szCs w:val="20"/>
        </w:rPr>
        <w:t>des incertitudes existent toujours quand à l'étiologie, à la sémiologie et à la définition de la dyslexie et de la dysphasie ; - ces termes, dans la littérature de recherches, ne sont plus utilisés ; - les polémiques perdurent concernant la dyslexie : est-ce un trouble ou est-ce une "mal-lecture" ? » p. 57.</w:t>
      </w:r>
    </w:p>
  </w:footnote>
  <w:footnote w:id="11">
    <w:p w:rsidR="00896813" w:rsidRPr="00797FD0" w:rsidRDefault="00896813" w:rsidP="007A4D82">
      <w:pPr>
        <w:pStyle w:val="Notedebasdepage"/>
        <w:rPr>
          <w:sz w:val="20"/>
          <w:szCs w:val="20"/>
        </w:rPr>
      </w:pPr>
      <w:r w:rsidRPr="00797FD0">
        <w:rPr>
          <w:rStyle w:val="Marquenotebasdepage"/>
          <w:sz w:val="20"/>
          <w:szCs w:val="20"/>
        </w:rPr>
        <w:footnoteRef/>
      </w:r>
      <w:r w:rsidRPr="00797FD0">
        <w:rPr>
          <w:sz w:val="20"/>
          <w:szCs w:val="20"/>
        </w:rPr>
        <w:t xml:space="preserve"> En quoi les équipes qui se sont penchées sur les recherches dans le cadre de l’Inserm et ont compulsé des milliers de publications il y a seulement 10 années seraient moins scientifiques en se permettant d’analyser les résultats ? Il se dégage de la lecture du guide 2018 une véritable crispation sur la pensée même des professionnels…</w:t>
      </w:r>
    </w:p>
  </w:footnote>
  <w:footnote w:id="12">
    <w:p w:rsidR="00896813" w:rsidRPr="00797FD0" w:rsidRDefault="00896813" w:rsidP="007A4D82">
      <w:pPr>
        <w:pStyle w:val="Notedebasdepage"/>
        <w:rPr>
          <w:sz w:val="20"/>
          <w:szCs w:val="20"/>
        </w:rPr>
      </w:pPr>
      <w:r w:rsidRPr="00797FD0">
        <w:rPr>
          <w:rStyle w:val="Marquenotebasdepage"/>
          <w:sz w:val="20"/>
          <w:szCs w:val="20"/>
        </w:rPr>
        <w:footnoteRef/>
      </w:r>
      <w:r w:rsidRPr="00797FD0">
        <w:rPr>
          <w:sz w:val="20"/>
          <w:szCs w:val="20"/>
        </w:rPr>
        <w:t xml:space="preserve"> Opus cité p. 29. Il est bien spécifié que « L’évaluation comporte une analyse des symptômes, la compréhension des processus cognitifs à l’origine des troubles de l’enfant considéré et le cheminement vers un diagnostic. » L’objectif est de « mettre en évidence le(s) trouble(s) spécifique(s) explicatif(s) des troubles spécifiques des apprentissages au travers du diagnostic ou dans le cadre des hypothèses diagnostiques ». On part du cognitif et on arrive dans le cognitif… Mais on ne peut éviter d’ajouter que « En cas de signes d’appel dans la sphère émotionnelle ou comportementale, un  avis pédopsychiatrique sera sollicité ».p.29. </w:t>
      </w:r>
    </w:p>
  </w:footnote>
  <w:footnote w:id="13">
    <w:p w:rsidR="00896813" w:rsidRPr="00797FD0" w:rsidRDefault="00896813" w:rsidP="007A4D82">
      <w:pPr>
        <w:pStyle w:val="Notedebasdepage"/>
        <w:jc w:val="both"/>
        <w:rPr>
          <w:sz w:val="20"/>
          <w:szCs w:val="20"/>
        </w:rPr>
      </w:pPr>
      <w:r w:rsidRPr="00797FD0">
        <w:rPr>
          <w:rStyle w:val="Marquenotebasdepage"/>
          <w:sz w:val="20"/>
          <w:szCs w:val="20"/>
        </w:rPr>
        <w:footnoteRef/>
      </w:r>
      <w:r w:rsidRPr="00797FD0">
        <w:rPr>
          <w:sz w:val="20"/>
          <w:szCs w:val="20"/>
        </w:rPr>
        <w:t xml:space="preserve"> Un examen basé sur des connaissances en matière de TSLA avec pratique d’outils standardisés, plus un examen digne d’un examen pédopsychiatrique familial et individuel complet, plus l’organisation de synthèses, des échanges d’information avec tout le monde et particulièrement l’école, une intervention au niveau des adaptations pédagogiques, le tout à l’aide d’un dossier médical partagé (DMP).</w:t>
      </w:r>
    </w:p>
  </w:footnote>
  <w:footnote w:id="14">
    <w:p w:rsidR="00896813" w:rsidRPr="0033343B" w:rsidRDefault="00896813" w:rsidP="0033343B">
      <w:pPr>
        <w:widowControl w:val="0"/>
        <w:autoSpaceDE w:val="0"/>
        <w:autoSpaceDN w:val="0"/>
        <w:adjustRightInd w:val="0"/>
        <w:spacing w:after="240" w:line="400" w:lineRule="atLeast"/>
        <w:rPr>
          <w:rFonts w:ascii="Times" w:hAnsi="Times" w:cs="Times"/>
          <w:color w:val="000000"/>
        </w:rPr>
      </w:pPr>
      <w:r>
        <w:rPr>
          <w:rStyle w:val="Marquenotebasdepage"/>
        </w:rPr>
        <w:footnoteRef/>
      </w:r>
      <w:r>
        <w:t xml:space="preserve"> </w:t>
      </w:r>
      <w:r w:rsidRPr="00B81192">
        <w:rPr>
          <w:sz w:val="20"/>
          <w:szCs w:val="20"/>
        </w:rPr>
        <w:t>Manuel Vallée,</w:t>
      </w:r>
      <w:r>
        <w:t xml:space="preserve"> </w:t>
      </w:r>
      <w:r w:rsidRPr="006B64C6">
        <w:rPr>
          <w:rFonts w:ascii="Times" w:hAnsi="Times" w:cs="Times"/>
          <w:i/>
          <w:color w:val="000000"/>
          <w:sz w:val="20"/>
          <w:szCs w:val="20"/>
        </w:rPr>
        <w:t>The countervailing forces behind France's low Ritalin consumption</w:t>
      </w:r>
      <w:r>
        <w:rPr>
          <w:rFonts w:ascii="Times" w:hAnsi="Times" w:cs="Times"/>
          <w:color w:val="000000"/>
          <w:sz w:val="20"/>
          <w:szCs w:val="20"/>
        </w:rPr>
        <w:t>, Social Science and Medecine, 238 (2019)</w:t>
      </w:r>
    </w:p>
  </w:footnote>
  <w:footnote w:id="15">
    <w:p w:rsidR="00896813" w:rsidRPr="006B64C6" w:rsidRDefault="00896813">
      <w:pPr>
        <w:pStyle w:val="Notedebasdepage"/>
        <w:rPr>
          <w:sz w:val="20"/>
          <w:szCs w:val="20"/>
        </w:rPr>
      </w:pPr>
      <w:r>
        <w:rPr>
          <w:rStyle w:val="Marquenotebasdepage"/>
        </w:rPr>
        <w:footnoteRef/>
      </w:r>
      <w:r>
        <w:t xml:space="preserve"> </w:t>
      </w:r>
      <w:r w:rsidRPr="006B64C6">
        <w:rPr>
          <w:sz w:val="20"/>
          <w:szCs w:val="20"/>
        </w:rPr>
        <w:t xml:space="preserve">P. Delion, </w:t>
      </w:r>
      <w:r w:rsidRPr="006B64C6">
        <w:rPr>
          <w:i/>
          <w:sz w:val="20"/>
          <w:szCs w:val="20"/>
        </w:rPr>
        <w:t>Instabilité psychomotrice chez l’enfant. Histoire des idées et réflexions actuelles</w:t>
      </w:r>
      <w:r w:rsidRPr="006B64C6">
        <w:rPr>
          <w:sz w:val="20"/>
          <w:szCs w:val="20"/>
        </w:rPr>
        <w:t>. 2003, EMC Psychiatrie.</w:t>
      </w:r>
    </w:p>
  </w:footnote>
  <w:footnote w:id="16">
    <w:p w:rsidR="00896813" w:rsidRDefault="00896813">
      <w:pPr>
        <w:pStyle w:val="Notedebasdepage"/>
      </w:pPr>
      <w:r>
        <w:rPr>
          <w:rStyle w:val="Marquenotebasdepage"/>
        </w:rPr>
        <w:footnoteRef/>
      </w:r>
      <w:r>
        <w:t xml:space="preserve"> </w:t>
      </w:r>
      <w:r w:rsidRPr="007D408F">
        <w:rPr>
          <w:sz w:val="20"/>
          <w:szCs w:val="20"/>
        </w:rPr>
        <w:t>Op. Cité, p2.</w:t>
      </w:r>
    </w:p>
  </w:footnote>
  <w:footnote w:id="17">
    <w:p w:rsidR="00896813" w:rsidRPr="007D408F" w:rsidRDefault="00896813">
      <w:pPr>
        <w:pStyle w:val="Notedebasdepage"/>
        <w:rPr>
          <w:sz w:val="20"/>
          <w:szCs w:val="20"/>
        </w:rPr>
      </w:pPr>
      <w:r>
        <w:rPr>
          <w:rStyle w:val="Marquenotebasdepage"/>
        </w:rPr>
        <w:footnoteRef/>
      </w:r>
      <w:r>
        <w:t xml:space="preserve"> </w:t>
      </w:r>
      <w:r>
        <w:rPr>
          <w:sz w:val="20"/>
          <w:szCs w:val="20"/>
        </w:rPr>
        <w:t>P. D</w:t>
      </w:r>
      <w:r w:rsidRPr="007D408F">
        <w:rPr>
          <w:sz w:val="20"/>
          <w:szCs w:val="20"/>
        </w:rPr>
        <w:t xml:space="preserve">elion, op. cité, p. 2, </w:t>
      </w:r>
      <w:r>
        <w:rPr>
          <w:sz w:val="20"/>
          <w:szCs w:val="20"/>
        </w:rPr>
        <w:t xml:space="preserve">D. </w:t>
      </w:r>
      <w:r w:rsidRPr="007D408F">
        <w:rPr>
          <w:sz w:val="20"/>
          <w:szCs w:val="20"/>
        </w:rPr>
        <w:t>Cohen, op. cité, p. 125</w:t>
      </w:r>
    </w:p>
  </w:footnote>
  <w:footnote w:id="18">
    <w:p w:rsidR="00896813" w:rsidRPr="007D408F" w:rsidRDefault="00896813">
      <w:pPr>
        <w:pStyle w:val="Notedebasdepage"/>
        <w:rPr>
          <w:sz w:val="20"/>
          <w:szCs w:val="20"/>
        </w:rPr>
      </w:pPr>
      <w:r>
        <w:rPr>
          <w:rStyle w:val="Marquenotebasdepage"/>
        </w:rPr>
        <w:footnoteRef/>
      </w:r>
      <w:r>
        <w:t xml:space="preserve"> </w:t>
      </w:r>
      <w:r w:rsidRPr="007D408F">
        <w:rPr>
          <w:sz w:val="20"/>
          <w:szCs w:val="20"/>
        </w:rPr>
        <w:t xml:space="preserve">Ph. Claudon, </w:t>
      </w:r>
      <w:r w:rsidRPr="007D408F">
        <w:rPr>
          <w:i/>
          <w:sz w:val="20"/>
          <w:szCs w:val="20"/>
        </w:rPr>
        <w:t>L’instabilité psychomotrice infantile. Une pensée en action</w:t>
      </w:r>
      <w:r w:rsidRPr="007D408F">
        <w:rPr>
          <w:sz w:val="20"/>
          <w:szCs w:val="20"/>
        </w:rPr>
        <w:t>. Erès, Psychologie clinique et projective, 2001/1, n°7, p. 153-173.</w:t>
      </w:r>
    </w:p>
  </w:footnote>
  <w:footnote w:id="19">
    <w:p w:rsidR="00896813" w:rsidRPr="007D408F" w:rsidRDefault="00896813">
      <w:pPr>
        <w:pStyle w:val="Notedebasdepage"/>
        <w:rPr>
          <w:sz w:val="20"/>
          <w:szCs w:val="20"/>
        </w:rPr>
      </w:pPr>
      <w:r>
        <w:rPr>
          <w:rStyle w:val="Marquenotebasdepage"/>
        </w:rPr>
        <w:footnoteRef/>
      </w:r>
      <w:r>
        <w:t xml:space="preserve"> </w:t>
      </w:r>
      <w:r w:rsidRPr="007D408F">
        <w:rPr>
          <w:i/>
          <w:sz w:val="20"/>
          <w:szCs w:val="20"/>
        </w:rPr>
        <w:t>Quelle est la place de la psychomotricité auprès de l’enfant « TDA/H-instable </w:t>
      </w:r>
      <w:r w:rsidRPr="007D408F">
        <w:rPr>
          <w:sz w:val="20"/>
          <w:szCs w:val="20"/>
        </w:rPr>
        <w:t>» ? Mémoire présenté par Virginie Bonnaud-Leroux, Juin 2013, ISRP, Paris.</w:t>
      </w:r>
    </w:p>
  </w:footnote>
  <w:footnote w:id="20">
    <w:p w:rsidR="00896813" w:rsidRPr="007D408F" w:rsidRDefault="00896813">
      <w:pPr>
        <w:pStyle w:val="Notedebasdepage"/>
        <w:rPr>
          <w:sz w:val="20"/>
          <w:szCs w:val="20"/>
        </w:rPr>
      </w:pPr>
      <w:r>
        <w:rPr>
          <w:rStyle w:val="Marquenotebasdepage"/>
        </w:rPr>
        <w:footnoteRef/>
      </w:r>
      <w:r>
        <w:t xml:space="preserve"> </w:t>
      </w:r>
      <w:r>
        <w:rPr>
          <w:sz w:val="20"/>
          <w:szCs w:val="20"/>
        </w:rPr>
        <w:t>D. C</w:t>
      </w:r>
      <w:r w:rsidRPr="007D408F">
        <w:rPr>
          <w:sz w:val="20"/>
          <w:szCs w:val="20"/>
        </w:rPr>
        <w:t xml:space="preserve">ohen, </w:t>
      </w:r>
      <w:r>
        <w:rPr>
          <w:sz w:val="20"/>
          <w:szCs w:val="20"/>
        </w:rPr>
        <w:t xml:space="preserve">op. cité, </w:t>
      </w:r>
      <w:r w:rsidRPr="007D408F">
        <w:rPr>
          <w:sz w:val="20"/>
          <w:szCs w:val="20"/>
        </w:rPr>
        <w:t>p. 432.</w:t>
      </w:r>
    </w:p>
  </w:footnote>
  <w:footnote w:id="21">
    <w:p w:rsidR="00896813" w:rsidRPr="007D408F" w:rsidRDefault="00896813">
      <w:pPr>
        <w:pStyle w:val="Notedebasdepage"/>
        <w:rPr>
          <w:sz w:val="20"/>
          <w:szCs w:val="20"/>
        </w:rPr>
      </w:pPr>
      <w:r>
        <w:rPr>
          <w:rStyle w:val="Marquenotebasdepage"/>
        </w:rPr>
        <w:footnoteRef/>
      </w:r>
      <w:r>
        <w:t xml:space="preserve"> </w:t>
      </w:r>
      <w:r w:rsidRPr="007D408F">
        <w:rPr>
          <w:sz w:val="20"/>
          <w:szCs w:val="20"/>
        </w:rPr>
        <w:t>P. Delion op. cité, p.5.</w:t>
      </w:r>
    </w:p>
  </w:footnote>
  <w:footnote w:id="22">
    <w:p w:rsidR="00896813" w:rsidRPr="008F7072" w:rsidRDefault="00896813">
      <w:pPr>
        <w:pStyle w:val="Notedebasdepage"/>
        <w:rPr>
          <w:sz w:val="20"/>
          <w:szCs w:val="20"/>
        </w:rPr>
      </w:pPr>
      <w:r>
        <w:rPr>
          <w:rStyle w:val="Marquenotebasdepage"/>
        </w:rPr>
        <w:footnoteRef/>
      </w:r>
      <w:r>
        <w:t xml:space="preserve"> </w:t>
      </w:r>
      <w:r w:rsidRPr="008F7072">
        <w:rPr>
          <w:sz w:val="20"/>
          <w:szCs w:val="20"/>
        </w:rPr>
        <w:t xml:space="preserve">Der Spiegel, 6/2012, </w:t>
      </w:r>
      <w:r w:rsidRPr="00896813">
        <w:rPr>
          <w:i/>
          <w:sz w:val="20"/>
          <w:szCs w:val="20"/>
        </w:rPr>
        <w:t>Schwermut ohne Scham</w:t>
      </w:r>
      <w:r w:rsidRPr="008F7072">
        <w:rPr>
          <w:sz w:val="20"/>
          <w:szCs w:val="20"/>
        </w:rPr>
        <w:t xml:space="preserve"> par Jörg Blech.</w:t>
      </w:r>
    </w:p>
  </w:footnote>
  <w:footnote w:id="23">
    <w:p w:rsidR="00896813" w:rsidRPr="00896813" w:rsidRDefault="00896813">
      <w:pPr>
        <w:pStyle w:val="Notedebasdepage"/>
        <w:rPr>
          <w:sz w:val="20"/>
          <w:szCs w:val="20"/>
        </w:rPr>
      </w:pPr>
      <w:r>
        <w:rPr>
          <w:rStyle w:val="Marquenotebasdepage"/>
        </w:rPr>
        <w:footnoteRef/>
      </w:r>
      <w:r>
        <w:t xml:space="preserve"> </w:t>
      </w:r>
      <w:r w:rsidRPr="00896813">
        <w:rPr>
          <w:i/>
          <w:sz w:val="20"/>
          <w:szCs w:val="20"/>
        </w:rPr>
        <w:t>Overselling A.D.H.D. A New Book Exposes Big Pharma’s Role</w:t>
      </w:r>
      <w:r>
        <w:rPr>
          <w:sz w:val="20"/>
          <w:szCs w:val="20"/>
        </w:rPr>
        <w:t xml:space="preserve"> By Steve Silberman, the New York Times, Aug 22, 2016.</w:t>
      </w:r>
    </w:p>
  </w:footnote>
  <w:footnote w:id="24">
    <w:p w:rsidR="00896813" w:rsidRPr="005051E6" w:rsidRDefault="00896813">
      <w:pPr>
        <w:pStyle w:val="Notedebasdepage"/>
        <w:rPr>
          <w:sz w:val="20"/>
          <w:szCs w:val="20"/>
        </w:rPr>
      </w:pPr>
      <w:r>
        <w:rPr>
          <w:rStyle w:val="Marquenotebasdepage"/>
        </w:rPr>
        <w:footnoteRef/>
      </w:r>
      <w:r>
        <w:t xml:space="preserve"> </w:t>
      </w:r>
      <w:r w:rsidRPr="005051E6">
        <w:rPr>
          <w:sz w:val="20"/>
          <w:szCs w:val="20"/>
        </w:rPr>
        <w:t xml:space="preserve">DSM(5) </w:t>
      </w:r>
      <w:r w:rsidRPr="005051E6">
        <w:rPr>
          <w:i/>
          <w:sz w:val="20"/>
          <w:szCs w:val="20"/>
        </w:rPr>
        <w:t xml:space="preserve">Utilisation et statut du diagnostic et des classifications de problèmes de santé mentale </w:t>
      </w:r>
      <w:r w:rsidRPr="005051E6">
        <w:rPr>
          <w:sz w:val="20"/>
          <w:szCs w:val="20"/>
        </w:rPr>
        <w:t>Conseil Supérieur de la Santé Mentale en Belgique, juin 2019</w:t>
      </w:r>
    </w:p>
  </w:footnote>
  <w:footnote w:id="25">
    <w:p w:rsidR="00896813" w:rsidRPr="005051E6" w:rsidRDefault="00896813">
      <w:pPr>
        <w:pStyle w:val="Notedebasdepage"/>
        <w:rPr>
          <w:sz w:val="20"/>
          <w:szCs w:val="20"/>
        </w:rPr>
      </w:pPr>
      <w:r w:rsidRPr="005051E6">
        <w:rPr>
          <w:rStyle w:val="Marquenotebasdepage"/>
          <w:sz w:val="20"/>
          <w:szCs w:val="20"/>
        </w:rPr>
        <w:footnoteRef/>
      </w:r>
      <w:r w:rsidRPr="005051E6">
        <w:rPr>
          <w:sz w:val="20"/>
          <w:szCs w:val="20"/>
        </w:rPr>
        <w:t xml:space="preserve"> Idem p. 27</w:t>
      </w:r>
    </w:p>
  </w:footnote>
  <w:footnote w:id="26">
    <w:p w:rsidR="00896813" w:rsidRPr="005051E6" w:rsidRDefault="00896813">
      <w:pPr>
        <w:pStyle w:val="Notedebasdepage"/>
        <w:rPr>
          <w:sz w:val="20"/>
          <w:szCs w:val="20"/>
        </w:rPr>
      </w:pPr>
      <w:r w:rsidRPr="005051E6">
        <w:rPr>
          <w:rStyle w:val="Marquenotebasdepage"/>
          <w:sz w:val="20"/>
          <w:szCs w:val="20"/>
        </w:rPr>
        <w:footnoteRef/>
      </w:r>
      <w:r w:rsidRPr="005051E6">
        <w:rPr>
          <w:sz w:val="20"/>
          <w:szCs w:val="20"/>
        </w:rPr>
        <w:t xml:space="preserve"> Idem. P.29</w:t>
      </w:r>
    </w:p>
  </w:footnote>
  <w:footnote w:id="27">
    <w:p w:rsidR="00896813" w:rsidRPr="005051E6" w:rsidRDefault="00896813">
      <w:pPr>
        <w:pStyle w:val="Notedebasdepage"/>
        <w:rPr>
          <w:sz w:val="20"/>
          <w:szCs w:val="20"/>
        </w:rPr>
      </w:pPr>
      <w:r>
        <w:rPr>
          <w:rStyle w:val="Marquenotebasdepage"/>
        </w:rPr>
        <w:footnoteRef/>
      </w:r>
      <w:r>
        <w:t xml:space="preserve"> </w:t>
      </w:r>
      <w:r w:rsidRPr="00896813">
        <w:rPr>
          <w:i/>
          <w:sz w:val="20"/>
          <w:szCs w:val="20"/>
        </w:rPr>
        <w:t>Belgian Superior Health Counsil advises aganist the use of DSM categories</w:t>
      </w:r>
      <w:r w:rsidRPr="005051E6">
        <w:rPr>
          <w:sz w:val="20"/>
          <w:szCs w:val="20"/>
        </w:rPr>
        <w:t>, The Lancet, vol 6 september 2019.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82"/>
    <w:rsid w:val="00045B12"/>
    <w:rsid w:val="000876EF"/>
    <w:rsid w:val="000C4D71"/>
    <w:rsid w:val="00105684"/>
    <w:rsid w:val="001065A2"/>
    <w:rsid w:val="00170735"/>
    <w:rsid w:val="001A5ECC"/>
    <w:rsid w:val="001C3AE4"/>
    <w:rsid w:val="001E1D8E"/>
    <w:rsid w:val="001E3D7D"/>
    <w:rsid w:val="001F1C56"/>
    <w:rsid w:val="001F63B5"/>
    <w:rsid w:val="001F6C85"/>
    <w:rsid w:val="00262484"/>
    <w:rsid w:val="002C25E3"/>
    <w:rsid w:val="002D7E56"/>
    <w:rsid w:val="002F18CF"/>
    <w:rsid w:val="002F5C75"/>
    <w:rsid w:val="00307C69"/>
    <w:rsid w:val="0033343B"/>
    <w:rsid w:val="00363B4D"/>
    <w:rsid w:val="003B4700"/>
    <w:rsid w:val="003D21B0"/>
    <w:rsid w:val="00427C3A"/>
    <w:rsid w:val="00486DDD"/>
    <w:rsid w:val="004922A6"/>
    <w:rsid w:val="004A7CC1"/>
    <w:rsid w:val="005051E6"/>
    <w:rsid w:val="0056039A"/>
    <w:rsid w:val="005673DB"/>
    <w:rsid w:val="005743C1"/>
    <w:rsid w:val="00576E7B"/>
    <w:rsid w:val="00594C8D"/>
    <w:rsid w:val="005A2A01"/>
    <w:rsid w:val="005E227C"/>
    <w:rsid w:val="005E68AF"/>
    <w:rsid w:val="005F03A1"/>
    <w:rsid w:val="0060497A"/>
    <w:rsid w:val="006145E5"/>
    <w:rsid w:val="0062698F"/>
    <w:rsid w:val="00634DF9"/>
    <w:rsid w:val="006375C3"/>
    <w:rsid w:val="00640F03"/>
    <w:rsid w:val="006572C6"/>
    <w:rsid w:val="0066097E"/>
    <w:rsid w:val="006624DD"/>
    <w:rsid w:val="006633AC"/>
    <w:rsid w:val="006638EB"/>
    <w:rsid w:val="00687BB8"/>
    <w:rsid w:val="006B64C6"/>
    <w:rsid w:val="006E5F37"/>
    <w:rsid w:val="006F058E"/>
    <w:rsid w:val="00713D59"/>
    <w:rsid w:val="007152D9"/>
    <w:rsid w:val="00727FE6"/>
    <w:rsid w:val="00733629"/>
    <w:rsid w:val="00737E2A"/>
    <w:rsid w:val="00743B93"/>
    <w:rsid w:val="007940A1"/>
    <w:rsid w:val="007A1513"/>
    <w:rsid w:val="007A2DFC"/>
    <w:rsid w:val="007A4D82"/>
    <w:rsid w:val="007D408F"/>
    <w:rsid w:val="007E3994"/>
    <w:rsid w:val="007F4805"/>
    <w:rsid w:val="008237DA"/>
    <w:rsid w:val="0084049B"/>
    <w:rsid w:val="008466FD"/>
    <w:rsid w:val="00855FD4"/>
    <w:rsid w:val="00860948"/>
    <w:rsid w:val="008812AF"/>
    <w:rsid w:val="00896813"/>
    <w:rsid w:val="008F7072"/>
    <w:rsid w:val="009034FA"/>
    <w:rsid w:val="00932341"/>
    <w:rsid w:val="009545B4"/>
    <w:rsid w:val="00975E18"/>
    <w:rsid w:val="00992398"/>
    <w:rsid w:val="009A3196"/>
    <w:rsid w:val="009E5F6C"/>
    <w:rsid w:val="00A309F2"/>
    <w:rsid w:val="00A56AD9"/>
    <w:rsid w:val="00A613B4"/>
    <w:rsid w:val="00A83856"/>
    <w:rsid w:val="00A860DB"/>
    <w:rsid w:val="00AA040E"/>
    <w:rsid w:val="00AA396C"/>
    <w:rsid w:val="00AA45CE"/>
    <w:rsid w:val="00AE08BA"/>
    <w:rsid w:val="00B81192"/>
    <w:rsid w:val="00B8583D"/>
    <w:rsid w:val="00B90867"/>
    <w:rsid w:val="00B91DFF"/>
    <w:rsid w:val="00BB0454"/>
    <w:rsid w:val="00BC4A75"/>
    <w:rsid w:val="00BF49E1"/>
    <w:rsid w:val="00C03265"/>
    <w:rsid w:val="00C073F2"/>
    <w:rsid w:val="00C35F7B"/>
    <w:rsid w:val="00C43976"/>
    <w:rsid w:val="00C7152E"/>
    <w:rsid w:val="00C83EAF"/>
    <w:rsid w:val="00CA002D"/>
    <w:rsid w:val="00CB026C"/>
    <w:rsid w:val="00CC1F2F"/>
    <w:rsid w:val="00CE609F"/>
    <w:rsid w:val="00D21B84"/>
    <w:rsid w:val="00D40F4B"/>
    <w:rsid w:val="00D52B22"/>
    <w:rsid w:val="00D6454F"/>
    <w:rsid w:val="00D845EE"/>
    <w:rsid w:val="00D973DC"/>
    <w:rsid w:val="00DD6653"/>
    <w:rsid w:val="00DF7C6B"/>
    <w:rsid w:val="00E36C1D"/>
    <w:rsid w:val="00E64D55"/>
    <w:rsid w:val="00EA46C2"/>
    <w:rsid w:val="00EF6610"/>
    <w:rsid w:val="00F763AC"/>
    <w:rsid w:val="00F875A3"/>
    <w:rsid w:val="00FB34D2"/>
    <w:rsid w:val="00FD4A62"/>
    <w:rsid w:val="00FD55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7A4D82"/>
  </w:style>
  <w:style w:type="character" w:customStyle="1" w:styleId="NotedebasdepageCar">
    <w:name w:val="Note de bas de page Car"/>
    <w:basedOn w:val="Policepardfaut"/>
    <w:link w:val="Notedebasdepage"/>
    <w:uiPriority w:val="99"/>
    <w:rsid w:val="007A4D82"/>
  </w:style>
  <w:style w:type="character" w:styleId="Marquenotebasdepage">
    <w:name w:val="footnote reference"/>
    <w:basedOn w:val="Policepardfaut"/>
    <w:uiPriority w:val="99"/>
    <w:unhideWhenUsed/>
    <w:rsid w:val="007A4D82"/>
    <w:rPr>
      <w:vertAlign w:val="superscript"/>
    </w:rPr>
  </w:style>
  <w:style w:type="paragraph" w:styleId="Pieddepage">
    <w:name w:val="footer"/>
    <w:basedOn w:val="Normal"/>
    <w:link w:val="PieddepageCar"/>
    <w:uiPriority w:val="99"/>
    <w:unhideWhenUsed/>
    <w:rsid w:val="007940A1"/>
    <w:pPr>
      <w:tabs>
        <w:tab w:val="center" w:pos="4536"/>
        <w:tab w:val="right" w:pos="9072"/>
      </w:tabs>
    </w:pPr>
  </w:style>
  <w:style w:type="character" w:customStyle="1" w:styleId="PieddepageCar">
    <w:name w:val="Pied de page Car"/>
    <w:basedOn w:val="Policepardfaut"/>
    <w:link w:val="Pieddepage"/>
    <w:uiPriority w:val="99"/>
    <w:rsid w:val="007940A1"/>
  </w:style>
  <w:style w:type="character" w:styleId="Numrodepage">
    <w:name w:val="page number"/>
    <w:basedOn w:val="Policepardfaut"/>
    <w:uiPriority w:val="99"/>
    <w:semiHidden/>
    <w:unhideWhenUsed/>
    <w:rsid w:val="007940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7A4D82"/>
  </w:style>
  <w:style w:type="character" w:customStyle="1" w:styleId="NotedebasdepageCar">
    <w:name w:val="Note de bas de page Car"/>
    <w:basedOn w:val="Policepardfaut"/>
    <w:link w:val="Notedebasdepage"/>
    <w:uiPriority w:val="99"/>
    <w:rsid w:val="007A4D82"/>
  </w:style>
  <w:style w:type="character" w:styleId="Marquenotebasdepage">
    <w:name w:val="footnote reference"/>
    <w:basedOn w:val="Policepardfaut"/>
    <w:uiPriority w:val="99"/>
    <w:unhideWhenUsed/>
    <w:rsid w:val="007A4D82"/>
    <w:rPr>
      <w:vertAlign w:val="superscript"/>
    </w:rPr>
  </w:style>
  <w:style w:type="paragraph" w:styleId="Pieddepage">
    <w:name w:val="footer"/>
    <w:basedOn w:val="Normal"/>
    <w:link w:val="PieddepageCar"/>
    <w:uiPriority w:val="99"/>
    <w:unhideWhenUsed/>
    <w:rsid w:val="007940A1"/>
    <w:pPr>
      <w:tabs>
        <w:tab w:val="center" w:pos="4536"/>
        <w:tab w:val="right" w:pos="9072"/>
      </w:tabs>
    </w:pPr>
  </w:style>
  <w:style w:type="character" w:customStyle="1" w:styleId="PieddepageCar">
    <w:name w:val="Pied de page Car"/>
    <w:basedOn w:val="Policepardfaut"/>
    <w:link w:val="Pieddepage"/>
    <w:uiPriority w:val="99"/>
    <w:rsid w:val="007940A1"/>
  </w:style>
  <w:style w:type="character" w:styleId="Numrodepage">
    <w:name w:val="page number"/>
    <w:basedOn w:val="Policepardfaut"/>
    <w:uiPriority w:val="99"/>
    <w:semiHidden/>
    <w:unhideWhenUsed/>
    <w:rsid w:val="00794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21C6C-D273-9E46-B60C-796C5D61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6232</Words>
  <Characters>34282</Characters>
  <Application>Microsoft Macintosh Word</Application>
  <DocSecurity>0</DocSecurity>
  <Lines>285</Lines>
  <Paragraphs>80</Paragraphs>
  <ScaleCrop>false</ScaleCrop>
  <Company/>
  <LinksUpToDate>false</LinksUpToDate>
  <CharactersWithSpaces>40434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Konrad</dc:creator>
  <cp:keywords/>
  <dc:description/>
  <cp:lastModifiedBy>denise wohl</cp:lastModifiedBy>
  <cp:revision>2</cp:revision>
  <cp:lastPrinted>2019-11-21T21:20:00Z</cp:lastPrinted>
  <dcterms:created xsi:type="dcterms:W3CDTF">2020-03-30T09:05:00Z</dcterms:created>
  <dcterms:modified xsi:type="dcterms:W3CDTF">2020-03-30T09:05:00Z</dcterms:modified>
</cp:coreProperties>
</file>