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606A" w:rsidRDefault="00B43FAF">
      <w:pPr>
        <w:tabs>
          <w:tab w:val="center" w:pos="1784"/>
          <w:tab w:val="center" w:pos="3257"/>
          <w:tab w:val="center" w:pos="3965"/>
          <w:tab w:val="center" w:pos="4673"/>
          <w:tab w:val="center" w:pos="5382"/>
          <w:tab w:val="right" w:pos="9123"/>
        </w:tabs>
        <w:spacing w:after="249" w:line="259" w:lineRule="auto"/>
        <w:ind w:left="0" w:right="0" w:firstLine="0"/>
        <w:jc w:val="left"/>
      </w:pPr>
      <w:r>
        <w:tab/>
      </w:r>
      <w:r>
        <w:rPr>
          <w:noProof/>
        </w:rPr>
        <w:drawing>
          <wp:inline distT="0" distB="0" distL="0" distR="0">
            <wp:extent cx="1594866" cy="1524000"/>
            <wp:effectExtent l="0" t="0" r="0" b="0"/>
            <wp:docPr id="151" name="Picture 151"/>
            <wp:cNvGraphicFramePr/>
            <a:graphic xmlns:a="http://schemas.openxmlformats.org/drawingml/2006/main">
              <a:graphicData uri="http://schemas.openxmlformats.org/drawingml/2006/picture">
                <pic:pic xmlns:pic="http://schemas.openxmlformats.org/drawingml/2006/picture">
                  <pic:nvPicPr>
                    <pic:cNvPr id="151" name="Picture 151"/>
                    <pic:cNvPicPr/>
                  </pic:nvPicPr>
                  <pic:blipFill>
                    <a:blip r:embed="rId7"/>
                    <a:stretch>
                      <a:fillRect/>
                    </a:stretch>
                  </pic:blipFill>
                  <pic:spPr>
                    <a:xfrm>
                      <a:off x="0" y="0"/>
                      <a:ext cx="1594866" cy="1524000"/>
                    </a:xfrm>
                    <a:prstGeom prst="rect">
                      <a:avLst/>
                    </a:prstGeom>
                  </pic:spPr>
                </pic:pic>
              </a:graphicData>
            </a:graphic>
          </wp:inline>
        </w:drawing>
      </w:r>
      <w:r>
        <w:rPr>
          <w:color w:val="2A6099"/>
        </w:rPr>
        <w:t xml:space="preserve"> </w:t>
      </w:r>
      <w:r>
        <w:rPr>
          <w:color w:val="2A6099"/>
        </w:rPr>
        <w:tab/>
        <w:t xml:space="preserve"> </w:t>
      </w:r>
      <w:r>
        <w:rPr>
          <w:color w:val="2A6099"/>
        </w:rPr>
        <w:tab/>
        <w:t xml:space="preserve"> </w:t>
      </w:r>
      <w:r>
        <w:rPr>
          <w:color w:val="2A6099"/>
        </w:rPr>
        <w:tab/>
        <w:t xml:space="preserve"> </w:t>
      </w:r>
      <w:r>
        <w:rPr>
          <w:color w:val="2A6099"/>
        </w:rPr>
        <w:tab/>
        <w:t xml:space="preserve"> </w:t>
      </w:r>
      <w:r>
        <w:rPr>
          <w:color w:val="2A6099"/>
        </w:rPr>
        <w:tab/>
        <w:t>TOULOUSE, le 16 novembre 2023</w:t>
      </w:r>
      <w:r>
        <w:rPr>
          <w:rFonts w:ascii="Times New Roman" w:eastAsia="Times New Roman" w:hAnsi="Times New Roman" w:cs="Times New Roman"/>
          <w:sz w:val="24"/>
        </w:rPr>
        <w:t xml:space="preserve"> </w:t>
      </w:r>
    </w:p>
    <w:p w:rsidR="003C606A" w:rsidRDefault="00B43FAF">
      <w:pPr>
        <w:spacing w:after="0" w:line="401" w:lineRule="auto"/>
        <w:ind w:left="3912" w:right="36"/>
        <w:jc w:val="right"/>
      </w:pPr>
      <w:r>
        <w:rPr>
          <w:color w:val="2A6099"/>
        </w:rPr>
        <w:t xml:space="preserve">Dr Anne Roger Da Silva, </w:t>
      </w:r>
      <w:r>
        <w:rPr>
          <w:color w:val="2A6099"/>
        </w:rPr>
        <w:t xml:space="preserve">Présidente </w:t>
      </w:r>
      <w:bookmarkStart w:id="0" w:name="_GoBack"/>
      <w:bookmarkEnd w:id="0"/>
      <w:r>
        <w:rPr>
          <w:color w:val="2A6099"/>
        </w:rPr>
        <w:t xml:space="preserve">Commission Scientifique des Journées d’étude </w:t>
      </w:r>
    </w:p>
    <w:p w:rsidR="003C606A" w:rsidRDefault="00B43FAF">
      <w:pPr>
        <w:spacing w:after="160" w:line="259" w:lineRule="auto"/>
        <w:ind w:left="0" w:right="0" w:firstLine="0"/>
        <w:jc w:val="right"/>
      </w:pPr>
      <w:r>
        <w:rPr>
          <w:color w:val="2A6099"/>
        </w:rPr>
        <w:t xml:space="preserve"> </w:t>
      </w:r>
    </w:p>
    <w:p w:rsidR="003C606A" w:rsidRDefault="00B43FAF">
      <w:pPr>
        <w:spacing w:after="177" w:line="259" w:lineRule="auto"/>
        <w:ind w:left="0" w:right="0" w:firstLine="0"/>
        <w:jc w:val="right"/>
      </w:pPr>
      <w:r>
        <w:rPr>
          <w:color w:val="2A6099"/>
        </w:rPr>
        <w:t xml:space="preserve"> </w:t>
      </w:r>
    </w:p>
    <w:p w:rsidR="003C606A" w:rsidRDefault="00B43FAF">
      <w:pPr>
        <w:pStyle w:val="Titre1"/>
        <w:ind w:left="-5"/>
      </w:pPr>
      <w:r>
        <w:t xml:space="preserve">Allocution d’ouverture scientifique des journées </w:t>
      </w:r>
      <w:r>
        <w:t>Quand le CMPP se réinvente (sur son socle éthique et clinique de collectif soignant</w:t>
      </w:r>
      <w:r>
        <w:rPr>
          <w:b w:val="0"/>
          <w:color w:val="2A6099"/>
          <w:sz w:val="22"/>
        </w:rPr>
        <w:t xml:space="preserve">) </w:t>
      </w:r>
    </w:p>
    <w:p w:rsidR="003C606A" w:rsidRDefault="00B43FAF">
      <w:pPr>
        <w:ind w:left="-5" w:right="39"/>
      </w:pPr>
      <w:r>
        <w:t>Le devoir de mémoire et d’historisation, qui nous anime dans les soins aux enfants et familles, nous incombe dans nos institutions et à la FDCMPP. Ces journées devaient a</w:t>
      </w:r>
      <w:r>
        <w:t xml:space="preserve">voir lieu en Nouvelle Aquitaine. La difficulté en 2020, lors des dernières à Paris, à les envisager dans cette région, en raison des turbulences générées par les injonctions ARS et/ou associatives, nous a fait envisager leur accueil sur Toulouse.  </w:t>
      </w:r>
    </w:p>
    <w:p w:rsidR="003C606A" w:rsidRDefault="00B43FAF">
      <w:pPr>
        <w:ind w:left="-5" w:right="39"/>
      </w:pPr>
      <w:r>
        <w:t>C’est l</w:t>
      </w:r>
      <w:r>
        <w:t>a force du collectif qui nous permet de vous proposer ces deux jours et demi. La Commission Scientifique s’est constituée de professionnels de différentes disciplines et de divers horizons : Occitanie et Nouvelle Aquitaine jusqu’à la région PACA, et jusqu’</w:t>
      </w:r>
      <w:r>
        <w:t>aux confins de Belfort, de Lill</w:t>
      </w:r>
      <w:r>
        <w:rPr>
          <w:color w:val="2A6099"/>
        </w:rPr>
        <w:t>e</w:t>
      </w:r>
      <w:r>
        <w:t xml:space="preserve"> et de la région parisienne.</w:t>
      </w:r>
      <w:r>
        <w:rPr>
          <w:sz w:val="16"/>
        </w:rPr>
        <w:t xml:space="preserve"> </w:t>
      </w:r>
    </w:p>
    <w:p w:rsidR="003C606A" w:rsidRDefault="00B43FAF">
      <w:pPr>
        <w:ind w:left="-5" w:right="39"/>
      </w:pPr>
      <w:r>
        <w:t xml:space="preserve">Les premiers débats ont été traversés par la notion de « place » (« </w:t>
      </w:r>
      <w:proofErr w:type="spellStart"/>
      <w:r>
        <w:t>Etre</w:t>
      </w:r>
      <w:proofErr w:type="spellEnd"/>
      <w:r>
        <w:t xml:space="preserve"> à sa place » de Claire Marin), définie entre identité, désir personnel et impératif social, et déclinée à l’échelle de la</w:t>
      </w:r>
      <w:r>
        <w:t xml:space="preserve"> place de l’enfant dans la géographie familiale, dans son histoire, dans son chemin thérapeutique, de vie, d’élève ; celle des parents dans le parcours de soin de leur enfant ; celle</w:t>
      </w:r>
      <w:r>
        <w:rPr>
          <w:sz w:val="18"/>
        </w:rPr>
        <w:t xml:space="preserve"> </w:t>
      </w:r>
      <w:r>
        <w:t>des cmpp dans le tissu du soin psychique, celle de chaque profession au s</w:t>
      </w:r>
      <w:r>
        <w:t xml:space="preserve">ein d’une équipe.  </w:t>
      </w:r>
    </w:p>
    <w:p w:rsidR="003C606A" w:rsidRDefault="00B43FAF">
      <w:pPr>
        <w:ind w:left="-5" w:right="39"/>
      </w:pPr>
      <w:r>
        <w:t xml:space="preserve">Il a été question de « S’adapter » de Clara Dupont Monod à Barbara Stiegler (S’adapter à l’enfance « inadaptée », s’adapter aux contraintes du Réel).  </w:t>
      </w:r>
    </w:p>
    <w:p w:rsidR="003C606A" w:rsidRDefault="00B43FAF">
      <w:pPr>
        <w:ind w:left="-5" w:right="39"/>
      </w:pPr>
      <w:r>
        <w:t>Il a été question du soin (« A quel soin se fier ? Conversations avec Winnicott » Cl</w:t>
      </w:r>
      <w:r>
        <w:t xml:space="preserve">aire Marin et Frédéric Worms, « Le soin est un humanisme » Cynthia Fleury).  </w:t>
      </w:r>
    </w:p>
    <w:p w:rsidR="003C606A" w:rsidRDefault="00B43FAF">
      <w:pPr>
        <w:ind w:left="-5" w:right="39"/>
      </w:pPr>
      <w:r>
        <w:t xml:space="preserve">Il a été question des liens, de tisser, penser le soin, d’une clinique singulière et de pratiques plurielles.  </w:t>
      </w:r>
    </w:p>
    <w:p w:rsidR="003C606A" w:rsidRDefault="00B43FAF">
      <w:pPr>
        <w:ind w:left="-5" w:right="39"/>
      </w:pPr>
      <w:r>
        <w:t>Il a été question de l’institution, de mailler, tricoter en réseau</w:t>
      </w:r>
      <w:r>
        <w:t xml:space="preserve">, de culture et de consentement, d’engagement, de créativité et de temporalité, de transmission.  </w:t>
      </w:r>
    </w:p>
    <w:p w:rsidR="003C606A" w:rsidRDefault="00B43FAF">
      <w:pPr>
        <w:ind w:left="-5" w:right="39"/>
      </w:pPr>
      <w:r>
        <w:t>Il s’est agi d’inventer en tenant compte de nouvelles connaissances scientifiques et pratiques professionnelles (dans le champ du développement de l’enfant),</w:t>
      </w:r>
      <w:r>
        <w:t xml:space="preserve"> de l’évolution des attentes sociétales et des politiques publiques.  </w:t>
      </w:r>
    </w:p>
    <w:p w:rsidR="003C606A" w:rsidRDefault="00B43FAF">
      <w:pPr>
        <w:ind w:left="-5" w:right="39"/>
      </w:pPr>
      <w:r>
        <w:t>A été mise en réflexion notre représentativité. S’agissait-il de fédérer en tentant le consensus ou en acceptant une conflictualité créatrice ? D’éviter l’élan contestataire par peur qu</w:t>
      </w:r>
      <w:r>
        <w:t xml:space="preserve">’il ne nous engloutisse, d’éviter de laisser voix à ce qui fait souffrance ?  Ou de reconnaître son existence pour mieux la métaboliser, la transformer ensemble dans ces journées, en faisant le pari d’une reviviscence ? </w:t>
      </w:r>
    </w:p>
    <w:p w:rsidR="003C606A" w:rsidRDefault="00B43FAF">
      <w:pPr>
        <w:ind w:left="-5" w:right="39"/>
      </w:pPr>
      <w:r>
        <w:lastRenderedPageBreak/>
        <w:t>Tout évolue vite dans notre context</w:t>
      </w:r>
      <w:r>
        <w:t xml:space="preserve">e contemporain : progrès technologique (révolution numérique), menaces écologiques, guerres, droits humains fragilisés, crise de la démocratie, ère de post idéaux, marquée par l’anomie sociale, l’injonction au bonheur, à l’efficacité, à la rationalisation </w:t>
      </w:r>
      <w:r>
        <w:t>économique, à la pression neuro-amélioratrice avec une crise de la subjectivité, de la transmission…</w:t>
      </w:r>
      <w:r>
        <w:rPr>
          <w:sz w:val="18"/>
        </w:rPr>
        <w:t xml:space="preserve"> </w:t>
      </w:r>
      <w:r>
        <w:t>Dans le même temps, sources et ressources affleurent pour protéger santé mentale des individus et état de droit : anthropologie du don (Mauss), de l’entrai</w:t>
      </w:r>
      <w:r>
        <w:t>de (Sevigné), valeurs d’humanité, de solidarité, de dignité</w:t>
      </w:r>
      <w:r>
        <w:rPr>
          <w:sz w:val="18"/>
        </w:rPr>
        <w:t xml:space="preserve">, </w:t>
      </w:r>
      <w:r>
        <w:t xml:space="preserve">exceptionnalité et </w:t>
      </w:r>
      <w:proofErr w:type="spellStart"/>
      <w:r>
        <w:t>irremplaçabilité</w:t>
      </w:r>
      <w:proofErr w:type="spellEnd"/>
      <w:r>
        <w:t xml:space="preserve"> de l’humain dans ses capacités de symbolisation, de sublimation, de résilience, de rétablissement, vulnérabilité inséparable d’une puissance régénératrice (</w:t>
      </w:r>
      <w:proofErr w:type="spellStart"/>
      <w:proofErr w:type="gramStart"/>
      <w:r>
        <w:t>C.F</w:t>
      </w:r>
      <w:r>
        <w:t>leury</w:t>
      </w:r>
      <w:proofErr w:type="spellEnd"/>
      <w:proofErr w:type="gramEnd"/>
      <w:r>
        <w:t xml:space="preserve">).  </w:t>
      </w:r>
    </w:p>
    <w:p w:rsidR="003C606A" w:rsidRDefault="00B43FAF">
      <w:pPr>
        <w:ind w:left="-5" w:right="39"/>
      </w:pPr>
      <w:r>
        <w:t xml:space="preserve">Dans un système contraint au changement, comment rester ouverts à de nouvelles approches, pratiques, nouveaux dispositifs, qui prendraient sens dans le travail clinique ? Comment réinventer, </w:t>
      </w:r>
      <w:r>
        <w:rPr>
          <w:color w:val="111111"/>
        </w:rPr>
        <w:t xml:space="preserve">trouver de nouveau, du latin </w:t>
      </w:r>
      <w:proofErr w:type="spellStart"/>
      <w:r>
        <w:rPr>
          <w:color w:val="111111"/>
        </w:rPr>
        <w:t>tropare</w:t>
      </w:r>
      <w:proofErr w:type="spellEnd"/>
      <w:r>
        <w:rPr>
          <w:color w:val="111111"/>
        </w:rPr>
        <w:t xml:space="preserve"> : </w:t>
      </w:r>
      <w:proofErr w:type="spellStart"/>
      <w:r>
        <w:rPr>
          <w:color w:val="111111"/>
        </w:rPr>
        <w:t>tropus</w:t>
      </w:r>
      <w:proofErr w:type="spellEnd"/>
      <w:r>
        <w:rPr>
          <w:color w:val="111111"/>
        </w:rPr>
        <w:t xml:space="preserve"> = la mélo</w:t>
      </w:r>
      <w:r>
        <w:rPr>
          <w:color w:val="111111"/>
        </w:rPr>
        <w:t>die, comment composer (un air nouveau),</w:t>
      </w:r>
      <w:r>
        <w:t xml:space="preserve"> sur notre socle éthique ? Comment témoigner de la richesse d’une écriture collective transdisciplinaire, aux « effets soignants » si on a (encore) le temps de penser ? Comment mettre en lumière ce holding porteur pou</w:t>
      </w:r>
      <w:r>
        <w:t xml:space="preserve">r les enfants, les familles les plus vulnérables tant sur le plan psychique que social, ces invisibles, ces déclassé(e)s, ces abandonné(e)s, non conventionnel(le)s, ceux/celles qu’on n’entend </w:t>
      </w:r>
      <w:proofErr w:type="gramStart"/>
      <w:r>
        <w:t>pas</w:t>
      </w:r>
      <w:r>
        <w:t>?</w:t>
      </w:r>
      <w:proofErr w:type="gramEnd"/>
      <w:r>
        <w:t xml:space="preserve"> Comment défendre le CMPP DANS LE SERVICE PUBLIC comme un «</w:t>
      </w:r>
      <w:r>
        <w:t xml:space="preserve"> essentiel » ? Comment entendre la diversité des attentes, des propositions dans la foisonnante créativité des différents </w:t>
      </w:r>
      <w:proofErr w:type="gramStart"/>
      <w:r>
        <w:t>CMPP</w:t>
      </w:r>
      <w:r>
        <w:t>?</w:t>
      </w:r>
      <w:proofErr w:type="gramEnd"/>
      <w:r>
        <w:t xml:space="preserve">  </w:t>
      </w:r>
    </w:p>
    <w:p w:rsidR="003C606A" w:rsidRDefault="00B43FAF">
      <w:pPr>
        <w:ind w:left="-5" w:right="39"/>
      </w:pPr>
      <w:r>
        <w:t>Comment n’occulter, n’édulcorer ni les enjeux économiques, technocratiques, managériaux qui infiltrent le médicosocial jusque dans sa novlangue, ni les enjeux de la désinstitutionalisation, ni les enjeux idéologiques de suprématie de l’homme neuronal sur l</w:t>
      </w:r>
      <w:r>
        <w:t>a psyché, avec un risque de hold-up de la pensée, de retour du refoulé, de fabrique de servitude (Gori), de république des faux-selfs (Delion</w:t>
      </w:r>
      <w:proofErr w:type="gramStart"/>
      <w:r>
        <w:t>)</w:t>
      </w:r>
      <w:r>
        <w:t>?</w:t>
      </w:r>
      <w:proofErr w:type="gramEnd"/>
      <w:r>
        <w:t xml:space="preserve"> Comment échapper à la nouvelle figure anthropologique de l’humain que proposent les idéologies actuelles de la </w:t>
      </w:r>
      <w:r>
        <w:t xml:space="preserve">santé et de l’éducation ?  </w:t>
      </w:r>
    </w:p>
    <w:p w:rsidR="003C606A" w:rsidRDefault="00B43FAF">
      <w:pPr>
        <w:ind w:left="-5" w:right="39"/>
      </w:pPr>
      <w:r>
        <w:t xml:space="preserve">La question ne serait pas tant les approches plurielles que le danger d’une pensée unique imposée quelle qu’elle soit, prise dans ces enjeux ou en réaction à eux.  </w:t>
      </w:r>
    </w:p>
    <w:p w:rsidR="003C606A" w:rsidRDefault="00B43FAF">
      <w:pPr>
        <w:ind w:left="-5" w:right="39"/>
      </w:pPr>
      <w:r>
        <w:t>L’éthique en amont de la rationalité instrumentale pourrait nou</w:t>
      </w:r>
      <w:r>
        <w:t>s aider à nous en sortir (Molinier)</w:t>
      </w:r>
      <w:r>
        <w:rPr>
          <w:sz w:val="20"/>
        </w:rPr>
        <w:t xml:space="preserve">. </w:t>
      </w:r>
      <w:r>
        <w:t xml:space="preserve">« Un défi se pose dans toute la médecine, que Canguilhem a très bien décrit : </w:t>
      </w:r>
      <w:r>
        <w:rPr>
          <w:i/>
        </w:rPr>
        <w:t>C'est le défi</w:t>
      </w:r>
      <w:r>
        <w:t xml:space="preserve"> </w:t>
      </w:r>
      <w:r>
        <w:rPr>
          <w:i/>
        </w:rPr>
        <w:t>d'objectiver la maladie sans objectiver le malade.</w:t>
      </w:r>
      <w:r>
        <w:t xml:space="preserve"> C'est la principale leçon de l'éthique du soin : il faut traiter la personne</w:t>
      </w:r>
      <w:r>
        <w:t xml:space="preserve"> comme un sujet mais la reconnaissance sociale de la maladie par l’objectivation est fondamentale (…) prise dans un soin, en citant Winnicott, ininterrompu. Elle a donc besoin aussi d'une reconnaissance politique. (…) L’outil, la science est un instrument </w:t>
      </w:r>
      <w:r>
        <w:t xml:space="preserve">dans la relation subjective. (…) La </w:t>
      </w:r>
      <w:r>
        <w:rPr>
          <w:i/>
        </w:rPr>
        <w:t>crise du soin</w:t>
      </w:r>
      <w:r>
        <w:t xml:space="preserve"> est une crise de santé publique : après la crise sanitaire proprement dite, il y a une crise du soin, qui n'est plus sanitaire, </w:t>
      </w:r>
      <w:r>
        <w:rPr>
          <w:i/>
        </w:rPr>
        <w:t xml:space="preserve">qui est morale </w:t>
      </w:r>
      <w:r>
        <w:t>: dans cette dimension de non</w:t>
      </w:r>
      <w:r w:rsidR="00303D44">
        <w:t xml:space="preserve"> </w:t>
      </w:r>
      <w:r>
        <w:t>reconnaissance du sens du métier d</w:t>
      </w:r>
      <w:r>
        <w:t>u soin, du sens pour celui qui pratique. » F. Worms</w:t>
      </w:r>
      <w:r>
        <w:rPr>
          <w:b/>
        </w:rPr>
        <w:t xml:space="preserve">. </w:t>
      </w:r>
      <w:r>
        <w:t xml:space="preserve"> </w:t>
      </w:r>
    </w:p>
    <w:p w:rsidR="003C606A" w:rsidRDefault="00B43FAF">
      <w:pPr>
        <w:spacing w:after="0"/>
        <w:ind w:left="-5" w:right="39"/>
      </w:pPr>
      <w:r>
        <w:t xml:space="preserve">Dépassant un réductionnisme ontologique, nous souhaitons, dans ces journées, traverser ensemble </w:t>
      </w:r>
      <w:r>
        <w:rPr>
          <w:color w:val="22262A"/>
        </w:rPr>
        <w:t>une révolution épistémologique et paradigmatique,</w:t>
      </w:r>
      <w:r>
        <w:t xml:space="preserve"> faisant l’éloge de la complexité</w:t>
      </w:r>
      <w:r>
        <w:rPr>
          <w:color w:val="22262A"/>
        </w:rPr>
        <w:t>, de la nuance, du contradictoire</w:t>
      </w:r>
      <w:r>
        <w:t>, de la trans</w:t>
      </w:r>
      <w:r w:rsidR="00303D44">
        <w:t xml:space="preserve"> </w:t>
      </w:r>
      <w:r>
        <w:t>théorie, du complémentarisme. Un dialogue est possible entre approches psychopathologique, psychanalytique, systémique, anthropologique, phénoménologique, neurodéveloppementale, dans un continuum normal/patholo</w:t>
      </w:r>
      <w:r>
        <w:t xml:space="preserve">gique, qui fait soin dans les effets de la rencontre. Tentons un décentrage pour aborder une vision multidimensionnelle incarnée et non commanditée. </w:t>
      </w:r>
    </w:p>
    <w:p w:rsidR="003C606A" w:rsidRDefault="00B43FAF">
      <w:pPr>
        <w:spacing w:after="0" w:line="259" w:lineRule="auto"/>
        <w:ind w:left="0" w:right="0" w:firstLine="0"/>
        <w:jc w:val="left"/>
      </w:pPr>
      <w:r>
        <w:t xml:space="preserve"> </w:t>
      </w:r>
    </w:p>
    <w:p w:rsidR="003C606A" w:rsidRDefault="00B43FAF">
      <w:pPr>
        <w:ind w:left="-5" w:right="39"/>
      </w:pPr>
      <w:r>
        <w:rPr>
          <w:i/>
        </w:rPr>
        <w:t xml:space="preserve"> </w:t>
      </w:r>
      <w:r>
        <w:t>« Nos métiers de soignants, d’éducateurs, d’enseignants, de chercheurs sont à la croisée des chemins. N</w:t>
      </w:r>
      <w:r>
        <w:t>ous pouvons continuer à participer à la mise en place de réformes qui détruisent les institutions qui jusque</w:t>
      </w:r>
      <w:r w:rsidR="00303D44">
        <w:t>-</w:t>
      </w:r>
      <w:r>
        <w:t>là avaient porté nos métiers. Nous pouvons tenter de nous unir pour constituer des réseaux de résistance capables de réinventer le forum, l’amphith</w:t>
      </w:r>
      <w:r>
        <w:t xml:space="preserve">éâtre et l’agora. En s’y mettant à plusieurs, ici et maintenant, en ouvrant grand nos institutions à tous les citoyens qui, comme nous sont convaincus que le savoir ne se capitalise pas, mais qu’il s’élabore ensemble et dans la confrontation conflictuelle </w:t>
      </w:r>
      <w:r>
        <w:t xml:space="preserve">des points de vue, nous pourrions peut-être contribuer à faire de la santé et l’avenir de la vie, non pas ce qui suspend mais ce qui appelle la démocratie » (B. Stiegler)  </w:t>
      </w:r>
    </w:p>
    <w:p w:rsidR="003C606A" w:rsidRDefault="00B43FAF">
      <w:pPr>
        <w:ind w:left="-5" w:right="39"/>
      </w:pPr>
      <w:r>
        <w:t>« Reconquérir la démocratie, c’est se réapproprier l’espace de doute, de créativité</w:t>
      </w:r>
      <w:r>
        <w:t xml:space="preserve">, d’invention donc d’insatisfaction, comme tout acte de soin digne de ce nom » </w:t>
      </w:r>
      <w:r>
        <w:rPr>
          <w:sz w:val="20"/>
        </w:rPr>
        <w:t>(</w:t>
      </w:r>
      <w:proofErr w:type="spellStart"/>
      <w:r>
        <w:t>Bokobza</w:t>
      </w:r>
      <w:proofErr w:type="spellEnd"/>
      <w:r>
        <w:rPr>
          <w:b/>
        </w:rPr>
        <w:t xml:space="preserve"> </w:t>
      </w:r>
      <w:r>
        <w:t xml:space="preserve">Manifeste d’un psychiatre outragé).  </w:t>
      </w:r>
    </w:p>
    <w:p w:rsidR="003C606A" w:rsidRDefault="00B43FAF">
      <w:pPr>
        <w:ind w:left="-5" w:right="39"/>
      </w:pPr>
      <w:r>
        <w:t>Gardons une dimension de curiosité, d’incertitude, d’</w:t>
      </w:r>
      <w:proofErr w:type="spellStart"/>
      <w:r>
        <w:t>indisciplinarité</w:t>
      </w:r>
      <w:proofErr w:type="spellEnd"/>
      <w:r>
        <w:t>, une disponibilité pour l’inattendu afin de se donner la cha</w:t>
      </w:r>
      <w:r>
        <w:t xml:space="preserve">nce d’être enseigné, de se laisser transformer sans se perdre et de s’inventer un futur… Enonçons ces contours avant de vous emmener en voyage pendant ces deux jours et demi afin de pouvoir encore penser et rêver le soin ensemble !  </w:t>
      </w:r>
    </w:p>
    <w:p w:rsidR="003C606A" w:rsidRDefault="00B43FAF">
      <w:pPr>
        <w:ind w:left="-5" w:right="39"/>
      </w:pPr>
      <w:r>
        <w:t>L’étymologie de « soig</w:t>
      </w:r>
      <w:r>
        <w:t xml:space="preserve">ner » vient du latin « </w:t>
      </w:r>
      <w:proofErr w:type="spellStart"/>
      <w:r>
        <w:t>somnio</w:t>
      </w:r>
      <w:proofErr w:type="spellEnd"/>
      <w:r>
        <w:t xml:space="preserve"> » : songer = penser à quelqu’un ; porter attention, soin. Pour Winnicott, « l’adaptation n’est pas la santé, seule la </w:t>
      </w:r>
      <w:proofErr w:type="spellStart"/>
      <w:r>
        <w:t>co-création</w:t>
      </w:r>
      <w:proofErr w:type="spellEnd"/>
      <w:r>
        <w:t xml:space="preserve"> confère le sentiment d’exister ». La REALITE nous convoque au JEU cette affaire sérieuse du regi</w:t>
      </w:r>
      <w:r>
        <w:t xml:space="preserve">stre de l’essentiel dans l’infantile, au JEU de l’invention des dispositifs thérapeutiques où l’enfant reste sujet et partenaire…  </w:t>
      </w:r>
    </w:p>
    <w:p w:rsidR="003C606A" w:rsidRDefault="00B43FAF">
      <w:pPr>
        <w:ind w:left="-5" w:right="39"/>
      </w:pPr>
      <w:r>
        <w:t>Réinventons la liberté, réinventons un autre imaginaire, d’une puissance poétique révolutionnaire, avec l’utopie comme posit</w:t>
      </w:r>
      <w:r>
        <w:t xml:space="preserve">ion politique, style de vie, capacité à faire surgir l’inédit… Dans une sorte d’éthique de l’artisan ! </w:t>
      </w:r>
    </w:p>
    <w:p w:rsidR="003C606A" w:rsidRDefault="00B43FAF">
      <w:pPr>
        <w:spacing w:after="179" w:line="259" w:lineRule="auto"/>
        <w:ind w:left="0" w:right="0" w:firstLine="0"/>
        <w:jc w:val="left"/>
      </w:pPr>
      <w:r>
        <w:t xml:space="preserve"> </w:t>
      </w:r>
    </w:p>
    <w:p w:rsidR="003C606A" w:rsidRDefault="00B43FAF">
      <w:pPr>
        <w:pStyle w:val="Titre1"/>
        <w:ind w:left="-5"/>
      </w:pPr>
      <w:r>
        <w:t xml:space="preserve">Déroulé des journées dans une déclinaison </w:t>
      </w:r>
      <w:proofErr w:type="spellStart"/>
      <w:r>
        <w:t>winnicottienne</w:t>
      </w:r>
      <w:proofErr w:type="spellEnd"/>
      <w:r>
        <w:t xml:space="preserve"> </w:t>
      </w:r>
    </w:p>
    <w:p w:rsidR="003C606A" w:rsidRDefault="00B43FAF">
      <w:pPr>
        <w:spacing w:after="160" w:line="259" w:lineRule="auto"/>
        <w:ind w:left="0" w:right="0" w:firstLine="0"/>
        <w:jc w:val="left"/>
      </w:pPr>
      <w:r>
        <w:t xml:space="preserve"> </w:t>
      </w:r>
    </w:p>
    <w:p w:rsidR="003C606A" w:rsidRDefault="00B43FAF">
      <w:pPr>
        <w:ind w:left="-5" w:right="39"/>
      </w:pPr>
      <w:r>
        <w:rPr>
          <w:b/>
          <w:u w:val="single" w:color="000000"/>
        </w:rPr>
        <w:t>Jeudi matin : Prendre soin (A quel soin se fier ?)</w:t>
      </w:r>
      <w:r>
        <w:rPr>
          <w:b/>
        </w:rPr>
        <w:t xml:space="preserve">  </w:t>
      </w:r>
      <w:r>
        <w:t>L’évolution sociétale et des politique</w:t>
      </w:r>
      <w:r>
        <w:t>s de soin exposent à une crise de la subjectivité, au risque de perte de sens du mot « cure » en le restreignant au remède technique, au seul traitement médical, réduisant le soin pédopsychiatrique qui comprend une autre dimension, celle du « care » (fonct</w:t>
      </w:r>
      <w:r>
        <w:t xml:space="preserve">ion maternante du soin). Transmission, complexité, soin institutionnel et inventions : 2 interventions : Eloge du bricolage, Réinventer en </w:t>
      </w:r>
      <w:proofErr w:type="gramStart"/>
      <w:r>
        <w:t>CMPP?</w:t>
      </w:r>
      <w:proofErr w:type="gramEnd"/>
      <w:r>
        <w:t xml:space="preserve"> </w:t>
      </w:r>
    </w:p>
    <w:p w:rsidR="003C606A" w:rsidRDefault="00B43FAF">
      <w:pPr>
        <w:pStyle w:val="Titre2"/>
        <w:spacing w:after="160"/>
        <w:ind w:left="-5"/>
      </w:pPr>
      <w:r>
        <w:t>Jeudi après-midi : L’enfant, ses liens, ses lieux d’attachement</w:t>
      </w:r>
      <w:r>
        <w:rPr>
          <w:u w:val="none"/>
        </w:rPr>
        <w:t xml:space="preserve"> </w:t>
      </w:r>
    </w:p>
    <w:p w:rsidR="003C606A" w:rsidRDefault="00B43FAF">
      <w:pPr>
        <w:ind w:left="-5" w:right="39"/>
      </w:pPr>
      <w:r>
        <w:rPr>
          <w:b/>
          <w:u w:val="single" w:color="000000"/>
        </w:rPr>
        <w:t>Un enfant seul ça n’existe pas</w:t>
      </w:r>
      <w:r>
        <w:t xml:space="preserve"> :  Un enfant s</w:t>
      </w:r>
      <w:r>
        <w:t>eul, ça n’existe pas, sans une famille, sans une histoire, avec la complexité des attachements précoces, Un enfant seul ça n’existe pas sans un environnement social et culturel, sans contextes de vie, Un enfant seul ça n’existe pas sans politiques publique</w:t>
      </w:r>
      <w:r>
        <w:t xml:space="preserve">s volontaires, berceau de l’égalité des chances et de la cohésion sociale. Nous inviterons ici deux psychologues chercheuses dans le domaine de la petite enfance. </w:t>
      </w:r>
    </w:p>
    <w:p w:rsidR="003C606A" w:rsidRDefault="00B43FAF">
      <w:pPr>
        <w:ind w:left="-5" w:right="39"/>
      </w:pPr>
      <w:r>
        <w:rPr>
          <w:b/>
          <w:u w:val="single" w:color="000000"/>
        </w:rPr>
        <w:t>Un élève seul ça n’apprend pas</w:t>
      </w:r>
      <w:r>
        <w:t xml:space="preserve"> : Aujourd’hui la psychopédagogie, focus sur cette identité fo</w:t>
      </w:r>
      <w:r>
        <w:t>rte des CMPP, place de la psychopédagogie en tant que place de l’être élève dans la vie de l’enfant, importance de la médiation par l’objet culturel dans le rapport au savoir et du plaisir d’apprendre ensemble : 3 interventions : psychopédagogie et nouvell</w:t>
      </w:r>
      <w:r>
        <w:t xml:space="preserve">es problématiques ; historique, transmission et création d’un métier ; inventer aujourd’hui en psychopédagogie. </w:t>
      </w:r>
    </w:p>
    <w:p w:rsidR="003C606A" w:rsidRDefault="00B43FAF">
      <w:pPr>
        <w:spacing w:after="160" w:line="259" w:lineRule="auto"/>
        <w:ind w:left="0" w:right="0" w:firstLine="0"/>
        <w:jc w:val="left"/>
      </w:pPr>
      <w:r>
        <w:t xml:space="preserve"> </w:t>
      </w:r>
    </w:p>
    <w:p w:rsidR="003C606A" w:rsidRDefault="00B43FAF">
      <w:pPr>
        <w:spacing w:after="159" w:line="259" w:lineRule="auto"/>
        <w:ind w:left="-5" w:right="0"/>
        <w:jc w:val="left"/>
      </w:pPr>
      <w:r>
        <w:rPr>
          <w:u w:val="single" w:color="000000"/>
        </w:rPr>
        <w:t>Film Loup y es-tu ? Cinéma ABC</w:t>
      </w:r>
      <w:r>
        <w:t xml:space="preserve"> </w:t>
      </w:r>
    </w:p>
    <w:p w:rsidR="003C606A" w:rsidRDefault="00B43FAF">
      <w:pPr>
        <w:spacing w:after="160" w:line="259" w:lineRule="auto"/>
        <w:ind w:left="0" w:right="0" w:firstLine="0"/>
        <w:jc w:val="left"/>
      </w:pPr>
      <w:r>
        <w:t xml:space="preserve"> </w:t>
      </w:r>
    </w:p>
    <w:p w:rsidR="003C606A" w:rsidRDefault="00B43FAF">
      <w:pPr>
        <w:spacing w:after="0" w:line="259" w:lineRule="auto"/>
        <w:ind w:left="0" w:right="0" w:firstLine="0"/>
        <w:jc w:val="left"/>
      </w:pPr>
      <w:r>
        <w:rPr>
          <w:b/>
        </w:rPr>
        <w:t xml:space="preserve"> </w:t>
      </w:r>
    </w:p>
    <w:p w:rsidR="003C606A" w:rsidRDefault="00B43FAF">
      <w:pPr>
        <w:spacing w:after="160" w:line="259" w:lineRule="auto"/>
        <w:ind w:left="0" w:right="0" w:firstLine="0"/>
        <w:jc w:val="left"/>
      </w:pPr>
      <w:r>
        <w:rPr>
          <w:b/>
        </w:rPr>
        <w:t xml:space="preserve"> </w:t>
      </w:r>
    </w:p>
    <w:p w:rsidR="003C606A" w:rsidRDefault="00B43FAF">
      <w:pPr>
        <w:pStyle w:val="Titre2"/>
        <w:spacing w:after="158"/>
        <w:ind w:left="-5"/>
      </w:pPr>
      <w:r>
        <w:t>Vendredi : Un soignant seul ça n’existe pas</w:t>
      </w:r>
      <w:r>
        <w:rPr>
          <w:b w:val="0"/>
          <w:u w:val="none"/>
        </w:rPr>
        <w:t xml:space="preserve"> </w:t>
      </w:r>
    </w:p>
    <w:p w:rsidR="003C606A" w:rsidRDefault="00B43FAF">
      <w:pPr>
        <w:spacing w:after="0"/>
        <w:ind w:left="-5" w:right="39"/>
      </w:pPr>
      <w:r>
        <w:t>Le travail en CMPP, singulier, met à l’œuvre la pluralité des approches dans l’interdisciplinarité. Comment la pluridisciplinarité peut-elle rester féconde en s'inscrivant au sein d’un dissensus vivant agonistique, avec une ligne d'horizon commune, dans un</w:t>
      </w:r>
      <w:r>
        <w:t>e écriture collective transdisciplinaire, impliquant des espaces d’élaboration, un sentiment de sécurité, une culture d’équipe, une qualité de portage ? Préalable au fondement du collectif soignant, comment l’éthique clinique peut-elle être garantie, perme</w:t>
      </w:r>
      <w:r>
        <w:t xml:space="preserve">t d’accueillir d’autres façons de penser, de faire institution, responsable dans le soin, et engagée dans les transformations sociétales ? </w:t>
      </w:r>
    </w:p>
    <w:p w:rsidR="003C606A" w:rsidRDefault="00B43FAF">
      <w:pPr>
        <w:ind w:left="-5" w:right="39"/>
      </w:pPr>
      <w:r>
        <w:t xml:space="preserve">Pour mettre en perspective cela, nous accueillerons des chercheurs, en psychologie et </w:t>
      </w:r>
      <w:proofErr w:type="spellStart"/>
      <w:r>
        <w:t>anthropologIe</w:t>
      </w:r>
      <w:proofErr w:type="spellEnd"/>
      <w:r w:rsidR="00303D44">
        <w:t xml:space="preserve"> </w:t>
      </w:r>
      <w:r>
        <w:t>clinique, travai</w:t>
      </w:r>
      <w:r>
        <w:t xml:space="preserve">llant sur le dialogue entre les approches, en psychologie sociale (antériorité de l’éthique sur le collectif) ainsi qu’une table ronde de praticiens en CMPP= les anciens et nouveaux métiers au CMPP, comment faire collectif ? </w:t>
      </w:r>
    </w:p>
    <w:p w:rsidR="003C606A" w:rsidRDefault="00B43FAF">
      <w:pPr>
        <w:pStyle w:val="Titre3"/>
        <w:spacing w:after="191"/>
        <w:ind w:left="-5"/>
      </w:pPr>
      <w:r>
        <w:rPr>
          <w:b/>
        </w:rPr>
        <w:t>8 ateliers : Les CMPP se réinv</w:t>
      </w:r>
      <w:r>
        <w:rPr>
          <w:b/>
        </w:rPr>
        <w:t>entent au quotidien</w:t>
      </w:r>
      <w:r>
        <w:rPr>
          <w:b/>
          <w:u w:val="none"/>
        </w:rPr>
        <w:t xml:space="preserve"> </w:t>
      </w:r>
    </w:p>
    <w:p w:rsidR="003C606A" w:rsidRDefault="00B43FAF">
      <w:pPr>
        <w:numPr>
          <w:ilvl w:val="0"/>
          <w:numId w:val="1"/>
        </w:numPr>
        <w:spacing w:after="21"/>
        <w:ind w:right="39" w:hanging="360"/>
      </w:pPr>
      <w:r>
        <w:t xml:space="preserve">Evolution de la place du médecin au CMPP </w:t>
      </w:r>
    </w:p>
    <w:p w:rsidR="003C606A" w:rsidRDefault="00B43FAF">
      <w:pPr>
        <w:numPr>
          <w:ilvl w:val="0"/>
          <w:numId w:val="1"/>
        </w:numPr>
        <w:spacing w:after="21"/>
        <w:ind w:right="39" w:hanging="360"/>
      </w:pPr>
      <w:r>
        <w:t xml:space="preserve">Aux risques des diagnostics </w:t>
      </w:r>
    </w:p>
    <w:p w:rsidR="003C606A" w:rsidRDefault="00B43FAF">
      <w:pPr>
        <w:numPr>
          <w:ilvl w:val="0"/>
          <w:numId w:val="1"/>
        </w:numPr>
        <w:spacing w:after="21"/>
        <w:ind w:right="39" w:hanging="360"/>
      </w:pPr>
      <w:r>
        <w:t xml:space="preserve">Accueillir les adolescents </w:t>
      </w:r>
    </w:p>
    <w:p w:rsidR="003C606A" w:rsidRDefault="00B43FAF">
      <w:pPr>
        <w:numPr>
          <w:ilvl w:val="0"/>
          <w:numId w:val="1"/>
        </w:numPr>
        <w:spacing w:after="21"/>
        <w:ind w:right="39" w:hanging="360"/>
      </w:pPr>
      <w:r>
        <w:t xml:space="preserve">Travailler </w:t>
      </w:r>
      <w:r>
        <w:rPr>
          <w:i/>
        </w:rPr>
        <w:t>hors les murs</w:t>
      </w:r>
      <w:r>
        <w:t xml:space="preserve"> </w:t>
      </w:r>
    </w:p>
    <w:p w:rsidR="003C606A" w:rsidRDefault="00B43FAF">
      <w:pPr>
        <w:numPr>
          <w:ilvl w:val="0"/>
          <w:numId w:val="1"/>
        </w:numPr>
        <w:spacing w:after="21"/>
        <w:ind w:right="39" w:hanging="360"/>
      </w:pPr>
      <w:r>
        <w:t xml:space="preserve">Accompagner les familles </w:t>
      </w:r>
    </w:p>
    <w:p w:rsidR="003C606A" w:rsidRDefault="00B43FAF">
      <w:pPr>
        <w:numPr>
          <w:ilvl w:val="0"/>
          <w:numId w:val="1"/>
        </w:numPr>
        <w:spacing w:after="21"/>
        <w:ind w:right="39" w:hanging="360"/>
      </w:pPr>
      <w:r>
        <w:t xml:space="preserve">Orthophonie ou Psychopédagogie ? </w:t>
      </w:r>
    </w:p>
    <w:p w:rsidR="003C606A" w:rsidRDefault="00B43FAF">
      <w:pPr>
        <w:numPr>
          <w:ilvl w:val="0"/>
          <w:numId w:val="1"/>
        </w:numPr>
        <w:spacing w:after="21"/>
        <w:ind w:right="39" w:hanging="360"/>
      </w:pPr>
      <w:r>
        <w:t xml:space="preserve">Psychomotricité en mouvement </w:t>
      </w:r>
    </w:p>
    <w:p w:rsidR="003C606A" w:rsidRDefault="00B43FAF">
      <w:pPr>
        <w:numPr>
          <w:ilvl w:val="0"/>
          <w:numId w:val="1"/>
        </w:numPr>
        <w:spacing w:after="9"/>
        <w:ind w:right="39" w:hanging="360"/>
      </w:pPr>
      <w:r>
        <w:t xml:space="preserve">Nouveaux règlements, nouveaux dispositifs : quels effets sur nos pratiques ? </w:t>
      </w:r>
    </w:p>
    <w:p w:rsidR="003C606A" w:rsidRDefault="00B43FAF">
      <w:pPr>
        <w:spacing w:after="0" w:line="259" w:lineRule="auto"/>
        <w:ind w:left="1080" w:right="0" w:firstLine="0"/>
        <w:jc w:val="left"/>
      </w:pPr>
      <w:r>
        <w:t xml:space="preserve"> </w:t>
      </w:r>
    </w:p>
    <w:p w:rsidR="003C606A" w:rsidRDefault="00B43FAF">
      <w:pPr>
        <w:pStyle w:val="Titre2"/>
        <w:ind w:left="-5"/>
      </w:pPr>
      <w:r>
        <w:t xml:space="preserve">Présentation des actions de la </w:t>
      </w:r>
      <w:proofErr w:type="spellStart"/>
      <w:r>
        <w:t>FdCMPP</w:t>
      </w:r>
      <w:proofErr w:type="spellEnd"/>
      <w:r>
        <w:rPr>
          <w:u w:val="none"/>
        </w:rPr>
        <w:t xml:space="preserve"> </w:t>
      </w:r>
    </w:p>
    <w:p w:rsidR="003C606A" w:rsidRDefault="00B43FAF">
      <w:pPr>
        <w:spacing w:after="0" w:line="259" w:lineRule="auto"/>
        <w:ind w:left="0" w:right="0" w:firstLine="0"/>
        <w:jc w:val="left"/>
      </w:pPr>
      <w:r>
        <w:t xml:space="preserve"> </w:t>
      </w:r>
    </w:p>
    <w:p w:rsidR="003C606A" w:rsidRDefault="00B43FAF">
      <w:pPr>
        <w:spacing w:after="0" w:line="242" w:lineRule="auto"/>
        <w:ind w:left="0" w:right="0" w:firstLine="0"/>
        <w:jc w:val="left"/>
      </w:pPr>
      <w:r>
        <w:rPr>
          <w:sz w:val="20"/>
          <w:u w:val="single" w:color="000000"/>
        </w:rPr>
        <w:t>Librairie</w:t>
      </w:r>
      <w:r>
        <w:rPr>
          <w:sz w:val="20"/>
        </w:rPr>
        <w:t xml:space="preserve"> L’Ombre Blanche : Entendre la parole des enfants et des adolescents, une pratique clinique en CMPP (Villeneuve Saint George) </w:t>
      </w:r>
      <w:r>
        <w:rPr>
          <w:sz w:val="20"/>
        </w:rPr>
        <w:t xml:space="preserve">Louis SCIARA, psychiatre psychanalyste, membre du CA de la </w:t>
      </w:r>
      <w:proofErr w:type="spellStart"/>
      <w:r>
        <w:rPr>
          <w:sz w:val="20"/>
        </w:rPr>
        <w:t>FdCMPP</w:t>
      </w:r>
      <w:proofErr w:type="spellEnd"/>
      <w:r>
        <w:rPr>
          <w:sz w:val="20"/>
        </w:rPr>
        <w:t xml:space="preserve"> </w:t>
      </w:r>
    </w:p>
    <w:p w:rsidR="003C606A" w:rsidRDefault="00B43FAF">
      <w:pPr>
        <w:spacing w:after="0" w:line="259" w:lineRule="auto"/>
        <w:ind w:left="0" w:right="0" w:firstLine="0"/>
        <w:jc w:val="left"/>
      </w:pPr>
      <w:r>
        <w:rPr>
          <w:b/>
          <w:sz w:val="20"/>
        </w:rPr>
        <w:t xml:space="preserve"> </w:t>
      </w:r>
    </w:p>
    <w:p w:rsidR="003C606A" w:rsidRDefault="00B43FAF">
      <w:pPr>
        <w:spacing w:after="0" w:line="259" w:lineRule="auto"/>
        <w:ind w:left="-5" w:right="0"/>
        <w:jc w:val="left"/>
      </w:pPr>
      <w:r>
        <w:rPr>
          <w:b/>
          <w:u w:val="single" w:color="000000"/>
        </w:rPr>
        <w:t xml:space="preserve"> Samedi matin : Un CMPP tout seul ça n’existe pas :</w:t>
      </w:r>
      <w:r>
        <w:rPr>
          <w:b/>
        </w:rPr>
        <w:t xml:space="preserve">  </w:t>
      </w:r>
    </w:p>
    <w:p w:rsidR="003C606A" w:rsidRDefault="00B43FAF">
      <w:pPr>
        <w:spacing w:after="0" w:line="259" w:lineRule="auto"/>
        <w:ind w:left="0" w:right="0" w:firstLine="0"/>
        <w:jc w:val="left"/>
      </w:pPr>
      <w:r>
        <w:t xml:space="preserve"> </w:t>
      </w:r>
    </w:p>
    <w:p w:rsidR="003C606A" w:rsidRDefault="00B43FAF">
      <w:pPr>
        <w:pStyle w:val="Titre3"/>
        <w:ind w:left="-5"/>
      </w:pPr>
      <w:r>
        <w:t>Famille(s), école, inclusion</w:t>
      </w:r>
      <w:r>
        <w:rPr>
          <w:u w:val="none"/>
        </w:rPr>
        <w:t xml:space="preserve">  </w:t>
      </w:r>
    </w:p>
    <w:p w:rsidR="003C606A" w:rsidRDefault="00B43FAF">
      <w:pPr>
        <w:ind w:left="-5" w:right="39"/>
      </w:pPr>
      <w:r>
        <w:t>L’avancée de l’inclusion scolaire est concomitante d’une régression relative des moyens médicosociau</w:t>
      </w:r>
      <w:r>
        <w:t>x. Il reste un impossible à la scolarisation pour certains enfants, exposés avec leurs parents à l’injonction du « tout inclusif », et à une utilisation dévoyée de la notion de désinstitutionalisation. Les CMPP ont-t-ils les moyens de répondre correctement</w:t>
      </w:r>
      <w:r>
        <w:t xml:space="preserve"> à la fois aux demandes de soutien supplémentaire à l’inclusion scolaire et à l’exigence éthique de prendre en charge les enfants et adolescents les plus fragilisés ? Nous écouterons une représentante de la FCPE et le président de l'Association de psycholo</w:t>
      </w:r>
      <w:r>
        <w:t xml:space="preserve">gues de l'E.N. croiser leurs points de vue sur ces questions brûlantes. L'exemple d'une intervention préventive et thérapeutique dans un collège illustrera la possibilité pour une équipe de CMPP d'inventer des actions inclusives pertinentes. </w:t>
      </w:r>
    </w:p>
    <w:p w:rsidR="003C606A" w:rsidRDefault="00B43FAF">
      <w:pPr>
        <w:spacing w:after="167" w:line="259" w:lineRule="auto"/>
        <w:ind w:left="0" w:right="0" w:firstLine="0"/>
        <w:jc w:val="left"/>
      </w:pPr>
      <w:r>
        <w:rPr>
          <w:u w:val="single" w:color="000000"/>
        </w:rPr>
        <w:t xml:space="preserve">EVOLUTION DE </w:t>
      </w:r>
      <w:r>
        <w:rPr>
          <w:u w:val="single" w:color="000000"/>
        </w:rPr>
        <w:t>L’OFFRE DE SOIN et des PARCOURS DE SOINS</w:t>
      </w:r>
      <w:r>
        <w:t xml:space="preserve"> </w:t>
      </w:r>
      <w:r>
        <w:rPr>
          <w:sz w:val="16"/>
        </w:rPr>
        <w:t xml:space="preserve">Lien sanitaire et médico-social= limites et perspectives </w:t>
      </w:r>
    </w:p>
    <w:p w:rsidR="003C606A" w:rsidRDefault="00B43FAF">
      <w:pPr>
        <w:ind w:left="-5" w:right="39"/>
      </w:pPr>
      <w:r>
        <w:t>Quels liens les CMPP entretiennent-ils avec la pédopsychiatrie de secteur et plus particulièrement les CMP dans une logique de complémentarité territoriale ?</w:t>
      </w:r>
      <w:r>
        <w:t xml:space="preserve">  Quelles coordinations pouvons-nous construire en référence aux évolutions actuelles de nos missions et de l’offre de soins ? Quels éclairages nous apporte sur ces points l’expérience toulousaine ? Qu’englobe la question de parcours de soin ? Cette derniè</w:t>
      </w:r>
      <w:r>
        <w:t xml:space="preserve">re intervention vient faire l’éloge du secteur, du travail en réseau, et du prendre soin des liens partenariaux dans leur fonction d’appareil contenant. </w:t>
      </w:r>
    </w:p>
    <w:p w:rsidR="003C606A" w:rsidRDefault="00B43FAF">
      <w:pPr>
        <w:spacing w:after="0" w:line="259" w:lineRule="auto"/>
        <w:ind w:left="0" w:right="0" w:firstLine="0"/>
        <w:jc w:val="left"/>
      </w:pPr>
      <w:r>
        <w:t xml:space="preserve"> </w:t>
      </w:r>
    </w:p>
    <w:p w:rsidR="003C606A" w:rsidRDefault="00B43FAF">
      <w:pPr>
        <w:spacing w:after="160" w:line="259" w:lineRule="auto"/>
        <w:ind w:left="0" w:right="0" w:firstLine="0"/>
        <w:jc w:val="left"/>
      </w:pPr>
      <w:r>
        <w:t xml:space="preserve"> </w:t>
      </w:r>
    </w:p>
    <w:p w:rsidR="003C606A" w:rsidRDefault="00B43FAF">
      <w:pPr>
        <w:ind w:left="-5" w:right="39"/>
      </w:pPr>
      <w:r>
        <w:t xml:space="preserve">Que ces journées nationales, les premières depuis trois ans, soient l’occasion de partager nos expériences, et de prendre le temps, ensemble, de penser le soin !  </w:t>
      </w:r>
    </w:p>
    <w:p w:rsidR="003C606A" w:rsidRDefault="00B43FAF">
      <w:pPr>
        <w:ind w:left="-5" w:right="39"/>
      </w:pPr>
      <w:r>
        <w:t xml:space="preserve"> « De tout, il resta trois choses : la certitude que tout était en train de commencer, la ce</w:t>
      </w:r>
      <w:r>
        <w:t>rtitude qu’il fallait continuer, la certitude que cela serait interrompu avant que d’être terminé. Faire de l’interruption, un nouveau chemin, faire de la chute, un pas de danse, faire de la peur, un escalier, du rêve, un pont, de la recherche…une rencontr</w:t>
      </w:r>
      <w:r>
        <w:t xml:space="preserve">e. » Fernando Pessoa Poèmes jamais assemblés </w:t>
      </w:r>
    </w:p>
    <w:p w:rsidR="003C606A" w:rsidRDefault="00B43FAF">
      <w:pPr>
        <w:spacing w:after="158" w:line="259" w:lineRule="auto"/>
        <w:ind w:left="0" w:right="0" w:firstLine="0"/>
        <w:jc w:val="right"/>
      </w:pPr>
      <w:r>
        <w:rPr>
          <w:color w:val="2A6099"/>
        </w:rPr>
        <w:t xml:space="preserve"> </w:t>
      </w:r>
    </w:p>
    <w:p w:rsidR="003C606A" w:rsidRDefault="00B43FAF">
      <w:pPr>
        <w:spacing w:after="158" w:line="259" w:lineRule="auto"/>
        <w:ind w:left="0" w:right="0" w:firstLine="0"/>
        <w:jc w:val="right"/>
      </w:pPr>
      <w:r>
        <w:rPr>
          <w:color w:val="2A6099"/>
        </w:rPr>
        <w:t xml:space="preserve"> </w:t>
      </w:r>
    </w:p>
    <w:p w:rsidR="003C606A" w:rsidRDefault="00303D44" w:rsidP="00303D44">
      <w:pPr>
        <w:spacing w:after="0" w:line="401" w:lineRule="auto"/>
        <w:ind w:right="36"/>
      </w:pPr>
      <w:r>
        <w:rPr>
          <w:color w:val="2A6099"/>
        </w:rPr>
        <w:t xml:space="preserve">                                      </w:t>
      </w:r>
      <w:r w:rsidR="00B43FAF">
        <w:rPr>
          <w:color w:val="2A6099"/>
        </w:rPr>
        <w:t xml:space="preserve">Dr Anne Roger Da Silva, </w:t>
      </w:r>
      <w:r w:rsidR="00B43FAF">
        <w:rPr>
          <w:color w:val="2A6099"/>
        </w:rPr>
        <w:t xml:space="preserve">Présidente Commission Scientifique des Journées d’étude </w:t>
      </w:r>
    </w:p>
    <w:p w:rsidR="003C606A" w:rsidRDefault="00B43FAF">
      <w:pPr>
        <w:spacing w:after="0" w:line="259" w:lineRule="auto"/>
        <w:ind w:left="0" w:right="0" w:firstLine="0"/>
        <w:jc w:val="right"/>
      </w:pPr>
      <w:r>
        <w:t xml:space="preserve"> </w:t>
      </w:r>
    </w:p>
    <w:sectPr w:rsidR="003C606A">
      <w:footerReference w:type="even" r:id="rId8"/>
      <w:footerReference w:type="default" r:id="rId9"/>
      <w:footerReference w:type="first" r:id="rId10"/>
      <w:pgSz w:w="11906" w:h="16838"/>
      <w:pgMar w:top="567" w:right="1366" w:bottom="1511" w:left="141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3FAF" w:rsidRDefault="00B43FAF">
      <w:pPr>
        <w:spacing w:after="0" w:line="240" w:lineRule="auto"/>
      </w:pPr>
      <w:r>
        <w:separator/>
      </w:r>
    </w:p>
  </w:endnote>
  <w:endnote w:type="continuationSeparator" w:id="0">
    <w:p w:rsidR="00B43FAF" w:rsidRDefault="00B43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06A" w:rsidRDefault="00B43FAF">
    <w:pPr>
      <w:spacing w:after="0" w:line="259" w:lineRule="auto"/>
      <w:ind w:left="0" w:right="403" w:firstLine="0"/>
      <w:jc w:val="right"/>
    </w:pPr>
    <w:r>
      <w:rPr>
        <w:noProof/>
      </w:rPr>
      <w:drawing>
        <wp:anchor distT="0" distB="0" distL="114300" distR="114300" simplePos="0" relativeHeight="251658240" behindDoc="0" locked="0" layoutInCell="1" allowOverlap="0">
          <wp:simplePos x="0" y="0"/>
          <wp:positionH relativeFrom="page">
            <wp:posOffset>918845</wp:posOffset>
          </wp:positionH>
          <wp:positionV relativeFrom="page">
            <wp:posOffset>9907142</wp:posOffset>
          </wp:positionV>
          <wp:extent cx="5486400" cy="784987"/>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5486400" cy="784987"/>
                  </a:xfrm>
                  <a:prstGeom prst="rect">
                    <a:avLst/>
                  </a:prstGeom>
                </pic:spPr>
              </pic:pic>
            </a:graphicData>
          </a:graphic>
        </wp:anchor>
      </w:drawing>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06A" w:rsidRDefault="00B43FAF">
    <w:pPr>
      <w:spacing w:after="0" w:line="259" w:lineRule="auto"/>
      <w:ind w:left="0" w:right="403" w:firstLine="0"/>
      <w:jc w:val="right"/>
    </w:pPr>
    <w:r>
      <w:rPr>
        <w:noProof/>
      </w:rPr>
      <w:drawing>
        <wp:anchor distT="0" distB="0" distL="114300" distR="114300" simplePos="0" relativeHeight="251659264" behindDoc="0" locked="0" layoutInCell="1" allowOverlap="0">
          <wp:simplePos x="0" y="0"/>
          <wp:positionH relativeFrom="page">
            <wp:posOffset>918845</wp:posOffset>
          </wp:positionH>
          <wp:positionV relativeFrom="page">
            <wp:posOffset>9907142</wp:posOffset>
          </wp:positionV>
          <wp:extent cx="5486400" cy="784987"/>
          <wp:effectExtent l="0" t="0" r="0" b="0"/>
          <wp:wrapSquare wrapText="bothSides"/>
          <wp:docPr id="1"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5486400" cy="784987"/>
                  </a:xfrm>
                  <a:prstGeom prst="rect">
                    <a:avLst/>
                  </a:prstGeom>
                </pic:spPr>
              </pic:pic>
            </a:graphicData>
          </a:graphic>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06A" w:rsidRDefault="00B43FAF">
    <w:pPr>
      <w:spacing w:after="0" w:line="259" w:lineRule="auto"/>
      <w:ind w:left="0" w:right="403" w:firstLine="0"/>
      <w:jc w:val="right"/>
    </w:pPr>
    <w:r>
      <w:rPr>
        <w:noProof/>
      </w:rPr>
      <w:drawing>
        <wp:anchor distT="0" distB="0" distL="114300" distR="114300" simplePos="0" relativeHeight="251660288" behindDoc="0" locked="0" layoutInCell="1" allowOverlap="0">
          <wp:simplePos x="0" y="0"/>
          <wp:positionH relativeFrom="page">
            <wp:posOffset>918845</wp:posOffset>
          </wp:positionH>
          <wp:positionV relativeFrom="page">
            <wp:posOffset>9907142</wp:posOffset>
          </wp:positionV>
          <wp:extent cx="5486400" cy="784987"/>
          <wp:effectExtent l="0" t="0" r="0" b="0"/>
          <wp:wrapSquare wrapText="bothSides"/>
          <wp:docPr id="2"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5486400" cy="784987"/>
                  </a:xfrm>
                  <a:prstGeom prst="rect">
                    <a:avLst/>
                  </a:prstGeom>
                </pic:spPr>
              </pic:pic>
            </a:graphicData>
          </a:graphic>
        </wp:anchor>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3FAF" w:rsidRDefault="00B43FAF">
      <w:pPr>
        <w:spacing w:after="0" w:line="240" w:lineRule="auto"/>
      </w:pPr>
      <w:r>
        <w:separator/>
      </w:r>
    </w:p>
  </w:footnote>
  <w:footnote w:type="continuationSeparator" w:id="0">
    <w:p w:rsidR="00B43FAF" w:rsidRDefault="00B43F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4F014A"/>
    <w:multiLevelType w:val="hybridMultilevel"/>
    <w:tmpl w:val="58260B28"/>
    <w:lvl w:ilvl="0" w:tplc="574A3DF2">
      <w:start w:val="1"/>
      <w:numFmt w:val="decimal"/>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37A5468">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11A7FC2">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C425FA0">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5282ED4">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B1E03C8">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47C6F2A">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569F0C">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4429D0">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06A"/>
    <w:rsid w:val="00303D44"/>
    <w:rsid w:val="003C606A"/>
    <w:rsid w:val="00B43F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12E92"/>
  <w15:docId w15:val="{8CE0B4C6-9B28-47BB-B32F-4D7822E39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9" w:line="249" w:lineRule="auto"/>
      <w:ind w:left="10" w:right="47" w:hanging="10"/>
      <w:jc w:val="both"/>
    </w:pPr>
    <w:rPr>
      <w:rFonts w:ascii="Calibri" w:eastAsia="Calibri" w:hAnsi="Calibri" w:cs="Calibri"/>
      <w:color w:val="000000"/>
    </w:rPr>
  </w:style>
  <w:style w:type="paragraph" w:styleId="Titre1">
    <w:name w:val="heading 1"/>
    <w:next w:val="Normal"/>
    <w:link w:val="Titre1Car"/>
    <w:uiPriority w:val="9"/>
    <w:qFormat/>
    <w:pPr>
      <w:keepNext/>
      <w:keepLines/>
      <w:spacing w:after="140"/>
      <w:ind w:left="10" w:hanging="10"/>
      <w:outlineLvl w:val="0"/>
    </w:pPr>
    <w:rPr>
      <w:rFonts w:ascii="Calibri" w:eastAsia="Calibri" w:hAnsi="Calibri" w:cs="Calibri"/>
      <w:b/>
      <w:color w:val="000000"/>
      <w:sz w:val="24"/>
    </w:rPr>
  </w:style>
  <w:style w:type="paragraph" w:styleId="Titre2">
    <w:name w:val="heading 2"/>
    <w:next w:val="Normal"/>
    <w:link w:val="Titre2Car"/>
    <w:uiPriority w:val="9"/>
    <w:unhideWhenUsed/>
    <w:qFormat/>
    <w:pPr>
      <w:keepNext/>
      <w:keepLines/>
      <w:spacing w:after="0"/>
      <w:ind w:left="10" w:hanging="10"/>
      <w:outlineLvl w:val="1"/>
    </w:pPr>
    <w:rPr>
      <w:rFonts w:ascii="Calibri" w:eastAsia="Calibri" w:hAnsi="Calibri" w:cs="Calibri"/>
      <w:b/>
      <w:color w:val="000000"/>
      <w:u w:val="single" w:color="000000"/>
    </w:rPr>
  </w:style>
  <w:style w:type="paragraph" w:styleId="Titre3">
    <w:name w:val="heading 3"/>
    <w:next w:val="Normal"/>
    <w:link w:val="Titre3Car"/>
    <w:uiPriority w:val="9"/>
    <w:unhideWhenUsed/>
    <w:qFormat/>
    <w:pPr>
      <w:keepNext/>
      <w:keepLines/>
      <w:spacing w:after="159"/>
      <w:ind w:left="10" w:hanging="10"/>
      <w:outlineLvl w:val="2"/>
    </w:pPr>
    <w:rPr>
      <w:rFonts w:ascii="Calibri" w:eastAsia="Calibri" w:hAnsi="Calibri" w:cs="Calibri"/>
      <w:color w:val="00000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Pr>
      <w:rFonts w:ascii="Calibri" w:eastAsia="Calibri" w:hAnsi="Calibri" w:cs="Calibri"/>
      <w:color w:val="000000"/>
      <w:sz w:val="22"/>
      <w:u w:val="single" w:color="000000"/>
    </w:rPr>
  </w:style>
  <w:style w:type="character" w:customStyle="1" w:styleId="Titre2Car">
    <w:name w:val="Titre 2 Car"/>
    <w:link w:val="Titre2"/>
    <w:rPr>
      <w:rFonts w:ascii="Calibri" w:eastAsia="Calibri" w:hAnsi="Calibri" w:cs="Calibri"/>
      <w:b/>
      <w:color w:val="000000"/>
      <w:sz w:val="22"/>
      <w:u w:val="single" w:color="000000"/>
    </w:rPr>
  </w:style>
  <w:style w:type="character" w:customStyle="1" w:styleId="Titre1Car">
    <w:name w:val="Titre 1 Car"/>
    <w:link w:val="Titre1"/>
    <w:rPr>
      <w:rFonts w:ascii="Calibri" w:eastAsia="Calibri" w:hAnsi="Calibri" w:cs="Calibri"/>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25731B8DD8664BA74EB2F9BB7E1143" ma:contentTypeVersion="12" ma:contentTypeDescription="Crée un document." ma:contentTypeScope="" ma:versionID="69a0174b5126f5b9986676620d5aceab">
  <xsd:schema xmlns:xsd="http://www.w3.org/2001/XMLSchema" xmlns:xs="http://www.w3.org/2001/XMLSchema" xmlns:p="http://schemas.microsoft.com/office/2006/metadata/properties" xmlns:ns2="6cb3ba54-3914-4543-92e4-9ec0c2169f62" xmlns:ns3="13fe4869-258f-4190-9337-15da2eabdb57" targetNamespace="http://schemas.microsoft.com/office/2006/metadata/properties" ma:root="true" ma:fieldsID="ae5e7f72c194069eb5bd9bede6e2d1f3" ns2:_="" ns3:_="">
    <xsd:import namespace="6cb3ba54-3914-4543-92e4-9ec0c2169f62"/>
    <xsd:import namespace="13fe4869-258f-4190-9337-15da2eabdb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3ba54-3914-4543-92e4-9ec0c2169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9fbbf35-2610-4126-9d4b-f9af757c2f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fe4869-258f-4190-9337-15da2eabdb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5b774c-ef4c-49f2-a956-8d17e54361df}" ma:internalName="TaxCatchAll" ma:showField="CatchAllData" ma:web="13fe4869-258f-4190-9337-15da2eabd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b3ba54-3914-4543-92e4-9ec0c2169f62">
      <Terms xmlns="http://schemas.microsoft.com/office/infopath/2007/PartnerControls"/>
    </lcf76f155ced4ddcb4097134ff3c332f>
    <TaxCatchAll xmlns="13fe4869-258f-4190-9337-15da2eabdb57" xsi:nil="true"/>
  </documentManagement>
</p:properties>
</file>

<file path=customXml/itemProps1.xml><?xml version="1.0" encoding="utf-8"?>
<ds:datastoreItem xmlns:ds="http://schemas.openxmlformats.org/officeDocument/2006/customXml" ds:itemID="{962C317E-F35F-46A2-A46D-879C59CBA162}"/>
</file>

<file path=customXml/itemProps2.xml><?xml version="1.0" encoding="utf-8"?>
<ds:datastoreItem xmlns:ds="http://schemas.openxmlformats.org/officeDocument/2006/customXml" ds:itemID="{F2AB577A-EF86-4601-8ACA-5E10F811DF68}"/>
</file>

<file path=customXml/itemProps3.xml><?xml version="1.0" encoding="utf-8"?>
<ds:datastoreItem xmlns:ds="http://schemas.openxmlformats.org/officeDocument/2006/customXml" ds:itemID="{85F8A350-6878-40D2-AB13-3A6612EE3F97}"/>
</file>

<file path=docProps/app.xml><?xml version="1.0" encoding="utf-8"?>
<Properties xmlns="http://schemas.openxmlformats.org/officeDocument/2006/extended-properties" xmlns:vt="http://schemas.openxmlformats.org/officeDocument/2006/docPropsVTypes">
  <Template>Normal</Template>
  <TotalTime>8</TotalTime>
  <Pages>5</Pages>
  <Words>2169</Words>
  <Characters>11934</Characters>
  <Application>Microsoft Office Word</Application>
  <DocSecurity>0</DocSecurity>
  <Lines>99</Lines>
  <Paragraphs>28</Paragraphs>
  <ScaleCrop>false</ScaleCrop>
  <Company/>
  <LinksUpToDate>false</LinksUpToDate>
  <CharactersWithSpaces>14075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ROGER DA SILVA</dc:creator>
  <cp:keywords/>
  <cp:lastModifiedBy>Anne ROGER DA SILVA</cp:lastModifiedBy>
  <cp:revision>2</cp:revision>
  <dcterms:created xsi:type="dcterms:W3CDTF">2024-07-12T09:43:00Z</dcterms:created>
  <dcterms:modified xsi:type="dcterms:W3CDTF">2024-07-12T09:43:00Z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0x0101003B25731B8DD8664BA74EB2F9BB7E1143</vt:lpwstr>
  </property>
</Properties>
</file>